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F2836" w14:textId="77777777" w:rsidR="005801E1" w:rsidRPr="00DC0598" w:rsidRDefault="005801E1" w:rsidP="005801E1">
      <w:pPr>
        <w:spacing w:after="0"/>
        <w:rPr>
          <w:b/>
          <w:bCs/>
          <w:sz w:val="28"/>
          <w:szCs w:val="28"/>
        </w:rPr>
      </w:pPr>
      <w:r w:rsidRPr="00DC0598">
        <w:rPr>
          <w:b/>
          <w:bCs/>
          <w:sz w:val="28"/>
          <w:szCs w:val="28"/>
        </w:rPr>
        <w:t>Ian Duncan Curriculum Vitae</w:t>
      </w:r>
    </w:p>
    <w:p w14:paraId="2F4654AB" w14:textId="77777777" w:rsidR="005801E1" w:rsidRDefault="005801E1" w:rsidP="005801E1">
      <w:pPr>
        <w:spacing w:after="0"/>
      </w:pPr>
    </w:p>
    <w:p w14:paraId="382AEEAD" w14:textId="0C6216E3" w:rsidR="005801E1" w:rsidRPr="00213F25" w:rsidRDefault="005801E1" w:rsidP="005801E1">
      <w:pPr>
        <w:pStyle w:val="Heading1"/>
        <w:spacing w:after="120"/>
        <w:rPr>
          <w:rFonts w:cs="Arial"/>
          <w:sz w:val="20"/>
          <w:szCs w:val="20"/>
        </w:rPr>
      </w:pPr>
      <w:r>
        <w:rPr>
          <w:rFonts w:cs="Arial"/>
          <w:sz w:val="20"/>
          <w:szCs w:val="20"/>
        </w:rPr>
        <w:t>Adj</w:t>
      </w:r>
      <w:r w:rsidR="00D013C2">
        <w:rPr>
          <w:rFonts w:cs="Arial"/>
          <w:sz w:val="20"/>
          <w:szCs w:val="20"/>
        </w:rPr>
        <w:t>unct</w:t>
      </w:r>
      <w:r>
        <w:rPr>
          <w:rFonts w:cs="Arial"/>
          <w:sz w:val="20"/>
          <w:szCs w:val="20"/>
        </w:rPr>
        <w:t xml:space="preserve"> Professor of Actuarial Statistics, Dept. of Statistics &amp; Applied Probability, </w:t>
      </w:r>
      <w:r w:rsidRPr="00213F25">
        <w:rPr>
          <w:rFonts w:cs="Arial"/>
          <w:sz w:val="20"/>
          <w:szCs w:val="20"/>
        </w:rPr>
        <w:t xml:space="preserve">University of California Santa Barbara.  </w:t>
      </w:r>
    </w:p>
    <w:p w14:paraId="6213326B" w14:textId="1BFD6985" w:rsidR="005801E1" w:rsidRDefault="008007AE" w:rsidP="005801E1">
      <w:pPr>
        <w:spacing w:after="120"/>
        <w:rPr>
          <w:rFonts w:ascii="Verdana" w:hAnsi="Verdana"/>
          <w:i/>
          <w:sz w:val="20"/>
          <w:szCs w:val="20"/>
        </w:rPr>
      </w:pPr>
      <w:r>
        <w:rPr>
          <w:rFonts w:ascii="Verdana" w:hAnsi="Verdana"/>
          <w:i/>
          <w:sz w:val="20"/>
          <w:szCs w:val="20"/>
        </w:rPr>
        <w:t>Senior Advisor</w:t>
      </w:r>
      <w:r w:rsidR="002C65CE">
        <w:rPr>
          <w:rFonts w:ascii="Verdana" w:hAnsi="Verdana"/>
          <w:i/>
          <w:sz w:val="20"/>
          <w:szCs w:val="20"/>
        </w:rPr>
        <w:t xml:space="preserve">, </w:t>
      </w:r>
      <w:proofErr w:type="spellStart"/>
      <w:r w:rsidR="002C65CE">
        <w:rPr>
          <w:rFonts w:ascii="Verdana" w:hAnsi="Verdana"/>
          <w:i/>
          <w:sz w:val="20"/>
          <w:szCs w:val="20"/>
        </w:rPr>
        <w:t>Arbital</w:t>
      </w:r>
      <w:proofErr w:type="spellEnd"/>
      <w:r w:rsidR="002C65CE">
        <w:rPr>
          <w:rFonts w:ascii="Verdana" w:hAnsi="Verdana"/>
          <w:i/>
          <w:sz w:val="20"/>
          <w:szCs w:val="20"/>
        </w:rPr>
        <w:t xml:space="preserve"> Health Inc. </w:t>
      </w:r>
    </w:p>
    <w:p w14:paraId="15822F54" w14:textId="77777777" w:rsidR="005801E1" w:rsidRPr="00870077" w:rsidRDefault="005801E1" w:rsidP="005801E1">
      <w:pPr>
        <w:pStyle w:val="Heading1"/>
        <w:spacing w:after="120" w:line="360" w:lineRule="auto"/>
        <w:rPr>
          <w:rFonts w:cs="Arial"/>
          <w:sz w:val="20"/>
          <w:szCs w:val="20"/>
        </w:rPr>
      </w:pPr>
      <w:r>
        <w:rPr>
          <w:rFonts w:cs="Arial"/>
          <w:sz w:val="20"/>
          <w:szCs w:val="20"/>
        </w:rPr>
        <w:t>E</w:t>
      </w:r>
      <w:r w:rsidRPr="00870077">
        <w:rPr>
          <w:rFonts w:cs="Arial"/>
          <w:caps/>
          <w:sz w:val="20"/>
          <w:szCs w:val="20"/>
        </w:rPr>
        <w:t>ducation</w:t>
      </w:r>
    </w:p>
    <w:p w14:paraId="3E5E780A" w14:textId="616AE6DB" w:rsidR="005801E1" w:rsidRPr="00616BBC" w:rsidRDefault="005801E1" w:rsidP="00616BBC">
      <w:pPr>
        <w:pStyle w:val="BodyTextIndent2"/>
        <w:ind w:left="0"/>
        <w:rPr>
          <w:rFonts w:cs="Arial"/>
          <w:sz w:val="20"/>
          <w:szCs w:val="20"/>
        </w:rPr>
      </w:pPr>
      <w:r w:rsidRPr="00870077">
        <w:rPr>
          <w:rFonts w:cs="Arial"/>
          <w:sz w:val="20"/>
          <w:szCs w:val="20"/>
        </w:rPr>
        <w:t>B.A. (Mathematics) Natal University (1972)</w:t>
      </w:r>
      <w:r w:rsidRPr="00870077">
        <w:rPr>
          <w:rFonts w:cs="Arial"/>
          <w:sz w:val="20"/>
          <w:szCs w:val="20"/>
        </w:rPr>
        <w:br/>
      </w:r>
      <w:r w:rsidRPr="00616BBC">
        <w:rPr>
          <w:rFonts w:cs="Arial"/>
          <w:sz w:val="20"/>
          <w:szCs w:val="20"/>
        </w:rPr>
        <w:t xml:space="preserve">B. Phil. (Economics) Balliol College, Oxford (1976)                 </w:t>
      </w:r>
      <w:r w:rsidR="00E639E2" w:rsidRPr="00616BBC">
        <w:rPr>
          <w:rFonts w:cs="Arial"/>
          <w:sz w:val="20"/>
          <w:szCs w:val="20"/>
        </w:rPr>
        <w:t xml:space="preserve">                               </w:t>
      </w:r>
      <w:r w:rsidRPr="00616BBC">
        <w:rPr>
          <w:rFonts w:cs="Arial"/>
          <w:sz w:val="20"/>
          <w:szCs w:val="20"/>
        </w:rPr>
        <w:t xml:space="preserve">               </w:t>
      </w:r>
      <w:r w:rsidR="00B25A13" w:rsidRPr="00616BBC">
        <w:rPr>
          <w:rFonts w:cs="Arial"/>
          <w:sz w:val="20"/>
          <w:szCs w:val="20"/>
        </w:rPr>
        <w:t xml:space="preserve">               Ph.D. </w:t>
      </w:r>
      <w:r w:rsidR="0064596A" w:rsidRPr="00616BBC">
        <w:rPr>
          <w:rFonts w:cs="Arial"/>
          <w:sz w:val="20"/>
          <w:szCs w:val="20"/>
        </w:rPr>
        <w:t xml:space="preserve">(Actuarial Statistics) </w:t>
      </w:r>
      <w:r w:rsidRPr="00616BBC">
        <w:rPr>
          <w:rFonts w:cs="Arial"/>
          <w:sz w:val="20"/>
          <w:szCs w:val="20"/>
        </w:rPr>
        <w:t xml:space="preserve">Heriot-Watt University, Edinburgh </w:t>
      </w:r>
      <w:r w:rsidR="00B639AF" w:rsidRPr="00616BBC">
        <w:rPr>
          <w:rFonts w:cs="Arial"/>
          <w:sz w:val="20"/>
          <w:szCs w:val="20"/>
        </w:rPr>
        <w:t>(2020)</w:t>
      </w:r>
    </w:p>
    <w:p w14:paraId="43D92C6D" w14:textId="1777EF58" w:rsidR="00616BBC" w:rsidRPr="00616BBC" w:rsidRDefault="00616BBC" w:rsidP="00616BBC">
      <w:pPr>
        <w:spacing w:after="0" w:line="240" w:lineRule="auto"/>
        <w:rPr>
          <w:rFonts w:ascii="Verdana" w:hAnsi="Verdana"/>
          <w:sz w:val="20"/>
          <w:szCs w:val="20"/>
        </w:rPr>
      </w:pPr>
      <w:r w:rsidRPr="00616BBC">
        <w:rPr>
          <w:rFonts w:ascii="Verdana" w:hAnsi="Verdana"/>
          <w:bCs/>
          <w:sz w:val="20"/>
          <w:szCs w:val="20"/>
        </w:rPr>
        <w:t>Dissertation</w:t>
      </w:r>
      <w:r w:rsidRPr="00616BBC">
        <w:rPr>
          <w:rFonts w:ascii="Verdana" w:hAnsi="Verdana"/>
          <w:bCs/>
          <w:sz w:val="20"/>
          <w:szCs w:val="20"/>
        </w:rPr>
        <w:t xml:space="preserve">: </w:t>
      </w:r>
      <w:r w:rsidRPr="00616BBC">
        <w:rPr>
          <w:rFonts w:ascii="Verdana" w:hAnsi="Verdana"/>
          <w:sz w:val="20"/>
          <w:szCs w:val="20"/>
        </w:rPr>
        <w:t>“Actuarial Applications of Survival Models” submitted for the degree of Doctor of Philosophy, Heriot-Watt University Edinburgh, December 2019.</w:t>
      </w:r>
    </w:p>
    <w:p w14:paraId="4FD02F59" w14:textId="77777777" w:rsidR="00616BBC" w:rsidRPr="00870077" w:rsidRDefault="00616BBC" w:rsidP="005801E1">
      <w:pPr>
        <w:pStyle w:val="BodyTextIndent2"/>
        <w:spacing w:after="120"/>
        <w:ind w:left="0"/>
        <w:rPr>
          <w:rFonts w:cs="Arial"/>
          <w:sz w:val="20"/>
          <w:szCs w:val="20"/>
        </w:rPr>
      </w:pPr>
    </w:p>
    <w:p w14:paraId="492FFF42" w14:textId="77777777" w:rsidR="005801E1" w:rsidRPr="00870077" w:rsidRDefault="005801E1" w:rsidP="005801E1">
      <w:pPr>
        <w:pStyle w:val="Heading1"/>
        <w:rPr>
          <w:rFonts w:cs="Arial"/>
          <w:sz w:val="20"/>
          <w:szCs w:val="20"/>
        </w:rPr>
      </w:pPr>
      <w:r w:rsidRPr="00870077">
        <w:rPr>
          <w:rFonts w:cs="Arial"/>
          <w:caps/>
          <w:sz w:val="20"/>
          <w:szCs w:val="20"/>
        </w:rPr>
        <w:t>Professional Affiliations</w:t>
      </w:r>
    </w:p>
    <w:p w14:paraId="516068D5" w14:textId="77777777" w:rsidR="005801E1" w:rsidRPr="00870077" w:rsidRDefault="005801E1" w:rsidP="005801E1">
      <w:pPr>
        <w:pStyle w:val="BodyTextIndent2"/>
        <w:spacing w:before="100" w:beforeAutospacing="1" w:after="100" w:afterAutospacing="1"/>
        <w:ind w:left="0"/>
        <w:rPr>
          <w:rFonts w:cs="Arial"/>
          <w:sz w:val="20"/>
          <w:szCs w:val="20"/>
        </w:rPr>
      </w:pPr>
      <w:r w:rsidRPr="00870077">
        <w:rPr>
          <w:rFonts w:cs="Arial"/>
          <w:sz w:val="20"/>
          <w:szCs w:val="20"/>
        </w:rPr>
        <w:t>Fellow of the Institute of Actuaries (London) (1982)</w:t>
      </w:r>
      <w:r w:rsidRPr="00870077">
        <w:rPr>
          <w:rFonts w:cs="Arial"/>
          <w:sz w:val="20"/>
          <w:szCs w:val="20"/>
        </w:rPr>
        <w:br/>
        <w:t>Fellow of the Canadian Institute of Actuaries (1984)</w:t>
      </w:r>
      <w:r w:rsidRPr="00870077">
        <w:rPr>
          <w:rFonts w:cs="Arial"/>
          <w:sz w:val="20"/>
          <w:szCs w:val="20"/>
        </w:rPr>
        <w:br/>
        <w:t>Fellow, Life Office Management Institute (1985)</w:t>
      </w:r>
      <w:r w:rsidRPr="00870077">
        <w:rPr>
          <w:rFonts w:cs="Arial"/>
          <w:sz w:val="20"/>
          <w:szCs w:val="20"/>
        </w:rPr>
        <w:br/>
        <w:t>Fellow, Society of Actuaries (2002)</w:t>
      </w:r>
      <w:r>
        <w:rPr>
          <w:rFonts w:cs="Arial"/>
          <w:sz w:val="20"/>
          <w:szCs w:val="20"/>
        </w:rPr>
        <w:t xml:space="preserve">                                                                                                                    Fellow, Conference of Consulting Actuaries (2015)                                                                             Certified Specialist in Predictive Analytics (Casualty Actuarial Society) (2017)</w:t>
      </w:r>
      <w:r w:rsidRPr="00870077">
        <w:rPr>
          <w:rFonts w:cs="Arial"/>
          <w:sz w:val="20"/>
          <w:szCs w:val="20"/>
        </w:rPr>
        <w:br/>
        <w:t>Member of the American Academy of Actuaries (1992)</w:t>
      </w:r>
    </w:p>
    <w:p w14:paraId="7AA295C2" w14:textId="77777777" w:rsidR="005801E1" w:rsidRPr="00870077" w:rsidRDefault="005801E1" w:rsidP="005801E1">
      <w:pPr>
        <w:pStyle w:val="Heading1"/>
        <w:rPr>
          <w:rFonts w:cs="Arial"/>
          <w:sz w:val="20"/>
          <w:szCs w:val="20"/>
        </w:rPr>
      </w:pPr>
      <w:r w:rsidRPr="00870077">
        <w:rPr>
          <w:rFonts w:cs="Arial"/>
          <w:caps/>
          <w:sz w:val="20"/>
          <w:szCs w:val="20"/>
        </w:rPr>
        <w:t>Experience </w:t>
      </w:r>
    </w:p>
    <w:p w14:paraId="4A582046" w14:textId="6218E996" w:rsidR="005801E1" w:rsidRDefault="005801E1" w:rsidP="005801E1">
      <w:pPr>
        <w:spacing w:before="100" w:beforeAutospacing="1" w:after="100" w:afterAutospacing="1"/>
        <w:rPr>
          <w:rFonts w:ascii="Verdana" w:hAnsi="Verdana" w:cs="Arial"/>
          <w:sz w:val="20"/>
          <w:szCs w:val="20"/>
        </w:rPr>
      </w:pPr>
      <w:r w:rsidRPr="00870077">
        <w:rPr>
          <w:rFonts w:ascii="Verdana" w:hAnsi="Verdana" w:cs="Arial"/>
          <w:b/>
          <w:bCs/>
          <w:sz w:val="20"/>
          <w:szCs w:val="20"/>
        </w:rPr>
        <w:t>Summary</w:t>
      </w:r>
      <w:r w:rsidRPr="00870077">
        <w:rPr>
          <w:rFonts w:ascii="Verdana" w:hAnsi="Verdana" w:cs="Arial"/>
          <w:sz w:val="20"/>
          <w:szCs w:val="20"/>
        </w:rPr>
        <w:t xml:space="preserve">: </w:t>
      </w:r>
      <w:r>
        <w:rPr>
          <w:rFonts w:ascii="Verdana" w:hAnsi="Verdana" w:cs="Arial"/>
          <w:sz w:val="20"/>
          <w:szCs w:val="20"/>
        </w:rPr>
        <w:t xml:space="preserve"> </w:t>
      </w:r>
      <w:r w:rsidR="00DA4F8F">
        <w:rPr>
          <w:rFonts w:ascii="Verdana" w:hAnsi="Verdana" w:cs="Arial"/>
          <w:sz w:val="20"/>
          <w:szCs w:val="20"/>
        </w:rPr>
        <w:t>F</w:t>
      </w:r>
      <w:r w:rsidR="008007AE">
        <w:rPr>
          <w:rFonts w:ascii="Verdana" w:hAnsi="Verdana" w:cs="Arial"/>
          <w:sz w:val="20"/>
          <w:szCs w:val="20"/>
        </w:rPr>
        <w:t>ifty</w:t>
      </w:r>
      <w:r>
        <w:rPr>
          <w:rFonts w:ascii="Verdana" w:hAnsi="Verdana" w:cs="Arial"/>
          <w:sz w:val="20"/>
          <w:szCs w:val="20"/>
        </w:rPr>
        <w:t xml:space="preserve"> years’ experi</w:t>
      </w:r>
      <w:r w:rsidR="00B639AF">
        <w:rPr>
          <w:rFonts w:ascii="Verdana" w:hAnsi="Verdana" w:cs="Arial"/>
          <w:sz w:val="20"/>
          <w:szCs w:val="20"/>
        </w:rPr>
        <w:t xml:space="preserve">ence as an actuary; </w:t>
      </w:r>
      <w:r w:rsidR="00CE1841">
        <w:rPr>
          <w:rFonts w:ascii="Verdana" w:hAnsi="Verdana" w:cs="Arial"/>
          <w:sz w:val="20"/>
          <w:szCs w:val="20"/>
        </w:rPr>
        <w:t>forty</w:t>
      </w:r>
      <w:r w:rsidRPr="00870077">
        <w:rPr>
          <w:rFonts w:ascii="Verdana" w:hAnsi="Verdana" w:cs="Arial"/>
          <w:sz w:val="20"/>
          <w:szCs w:val="20"/>
        </w:rPr>
        <w:t xml:space="preserve"> years of experience </w:t>
      </w:r>
      <w:r w:rsidR="00DA4F8F">
        <w:rPr>
          <w:rFonts w:ascii="Verdana" w:hAnsi="Verdana" w:cs="Arial"/>
          <w:sz w:val="20"/>
          <w:szCs w:val="20"/>
        </w:rPr>
        <w:t xml:space="preserve">as </w:t>
      </w:r>
      <w:r>
        <w:rPr>
          <w:rFonts w:ascii="Verdana" w:hAnsi="Verdana" w:cs="Arial"/>
          <w:sz w:val="20"/>
          <w:szCs w:val="20"/>
        </w:rPr>
        <w:t>healthcare consultant</w:t>
      </w:r>
      <w:r w:rsidRPr="00870077">
        <w:rPr>
          <w:rFonts w:ascii="Verdana" w:hAnsi="Verdana" w:cs="Arial"/>
          <w:sz w:val="20"/>
          <w:szCs w:val="20"/>
        </w:rPr>
        <w:t xml:space="preserve"> </w:t>
      </w:r>
      <w:r>
        <w:rPr>
          <w:rFonts w:ascii="Verdana" w:hAnsi="Verdana" w:cs="Arial"/>
          <w:sz w:val="20"/>
          <w:szCs w:val="20"/>
        </w:rPr>
        <w:t>to</w:t>
      </w:r>
      <w:r w:rsidRPr="00870077">
        <w:rPr>
          <w:rFonts w:ascii="Verdana" w:hAnsi="Verdana" w:cs="Arial"/>
          <w:sz w:val="20"/>
          <w:szCs w:val="20"/>
        </w:rPr>
        <w:t xml:space="preserve"> large </w:t>
      </w:r>
      <w:r>
        <w:rPr>
          <w:rFonts w:ascii="Verdana" w:hAnsi="Verdana" w:cs="Arial"/>
          <w:sz w:val="20"/>
          <w:szCs w:val="20"/>
        </w:rPr>
        <w:t>health insurance payer</w:t>
      </w:r>
      <w:r w:rsidRPr="00870077">
        <w:rPr>
          <w:rFonts w:ascii="Verdana" w:hAnsi="Verdana" w:cs="Arial"/>
          <w:sz w:val="20"/>
          <w:szCs w:val="20"/>
        </w:rPr>
        <w:t xml:space="preserve"> clients</w:t>
      </w:r>
      <w:r>
        <w:rPr>
          <w:rFonts w:ascii="Verdana" w:hAnsi="Verdana" w:cs="Arial"/>
          <w:sz w:val="20"/>
          <w:szCs w:val="20"/>
        </w:rPr>
        <w:t>.  Founder and president of three healthcare analytics companies, developer of healthcare analytics software products and manager of care management programs.</w:t>
      </w:r>
      <w:r w:rsidR="0043272D">
        <w:rPr>
          <w:rFonts w:ascii="Verdana" w:hAnsi="Verdana" w:cs="Arial"/>
          <w:sz w:val="20"/>
          <w:szCs w:val="20"/>
        </w:rPr>
        <w:t xml:space="preserve">  President and founder, Santa Barbara Actuaries Inc. (2015-</w:t>
      </w:r>
      <w:r w:rsidR="0052081E">
        <w:rPr>
          <w:rFonts w:ascii="Verdana" w:hAnsi="Verdana" w:cs="Arial"/>
          <w:sz w:val="20"/>
          <w:szCs w:val="20"/>
        </w:rPr>
        <w:t>23</w:t>
      </w:r>
      <w:r w:rsidR="00AE46A2">
        <w:rPr>
          <w:rFonts w:ascii="Verdana" w:hAnsi="Verdana" w:cs="Arial"/>
          <w:sz w:val="20"/>
          <w:szCs w:val="20"/>
        </w:rPr>
        <w:t xml:space="preserve">; Acquired by </w:t>
      </w:r>
      <w:proofErr w:type="spellStart"/>
      <w:r w:rsidR="00AE46A2">
        <w:rPr>
          <w:rFonts w:ascii="Verdana" w:hAnsi="Verdana" w:cs="Arial"/>
          <w:sz w:val="20"/>
          <w:szCs w:val="20"/>
        </w:rPr>
        <w:t>Arbital</w:t>
      </w:r>
      <w:proofErr w:type="spellEnd"/>
      <w:r w:rsidR="00AE46A2">
        <w:rPr>
          <w:rFonts w:ascii="Verdana" w:hAnsi="Verdana" w:cs="Arial"/>
          <w:sz w:val="20"/>
          <w:szCs w:val="20"/>
        </w:rPr>
        <w:t xml:space="preserve"> Health 12/31/2023</w:t>
      </w:r>
      <w:r w:rsidR="0043272D">
        <w:rPr>
          <w:rFonts w:ascii="Verdana" w:hAnsi="Verdana" w:cs="Arial"/>
          <w:sz w:val="20"/>
          <w:szCs w:val="20"/>
        </w:rPr>
        <w:t xml:space="preserve">).  Consulting clients include Johnson &amp; Johnson, SSDC Systems, </w:t>
      </w:r>
      <w:proofErr w:type="spellStart"/>
      <w:r w:rsidR="0043272D">
        <w:rPr>
          <w:rFonts w:ascii="Verdana" w:hAnsi="Verdana" w:cs="Arial"/>
          <w:sz w:val="20"/>
          <w:szCs w:val="20"/>
        </w:rPr>
        <w:t>Glytec</w:t>
      </w:r>
      <w:proofErr w:type="spellEnd"/>
      <w:r w:rsidR="0043272D">
        <w:rPr>
          <w:rFonts w:ascii="Verdana" w:hAnsi="Verdana" w:cs="Arial"/>
          <w:sz w:val="20"/>
          <w:szCs w:val="20"/>
        </w:rPr>
        <w:t xml:space="preserve"> Inc., Centene Corporation,</w:t>
      </w:r>
      <w:r w:rsidR="004B2A01">
        <w:rPr>
          <w:rFonts w:ascii="Verdana" w:hAnsi="Verdana" w:cs="Arial"/>
          <w:sz w:val="20"/>
          <w:szCs w:val="20"/>
        </w:rPr>
        <w:t xml:space="preserve"> Highmark Inc.,</w:t>
      </w:r>
      <w:r w:rsidR="0043272D">
        <w:rPr>
          <w:rFonts w:ascii="Verdana" w:hAnsi="Verdana" w:cs="Arial"/>
          <w:sz w:val="20"/>
          <w:szCs w:val="20"/>
        </w:rPr>
        <w:t xml:space="preserve"> </w:t>
      </w:r>
      <w:proofErr w:type="spellStart"/>
      <w:r w:rsidR="0043272D">
        <w:rPr>
          <w:rFonts w:ascii="Verdana" w:hAnsi="Verdana" w:cs="Arial"/>
          <w:sz w:val="20"/>
          <w:szCs w:val="20"/>
        </w:rPr>
        <w:t>Enclara</w:t>
      </w:r>
      <w:proofErr w:type="spellEnd"/>
      <w:r w:rsidR="0043272D">
        <w:rPr>
          <w:rFonts w:ascii="Verdana" w:hAnsi="Verdana" w:cs="Arial"/>
          <w:sz w:val="20"/>
          <w:szCs w:val="20"/>
        </w:rPr>
        <w:t xml:space="preserve"> Pharmacia, Cancer Treatment Centers of America</w:t>
      </w:r>
      <w:r w:rsidR="00932930">
        <w:rPr>
          <w:rFonts w:ascii="Verdana" w:hAnsi="Verdana" w:cs="Arial"/>
          <w:sz w:val="20"/>
          <w:szCs w:val="20"/>
        </w:rPr>
        <w:t>, WellBe Senior Medical</w:t>
      </w:r>
      <w:r w:rsidR="0043272D">
        <w:rPr>
          <w:rFonts w:ascii="Verdana" w:hAnsi="Verdana" w:cs="Arial"/>
          <w:sz w:val="20"/>
          <w:szCs w:val="20"/>
        </w:rPr>
        <w:t xml:space="preserve"> and Consumer Medical Inc. (now Alight Inc.) </w:t>
      </w:r>
      <w:r>
        <w:rPr>
          <w:rFonts w:ascii="Verdana" w:hAnsi="Verdana" w:cs="Arial"/>
          <w:sz w:val="20"/>
          <w:szCs w:val="20"/>
        </w:rPr>
        <w:t xml:space="preserve">Vice President responsible for </w:t>
      </w:r>
      <w:r w:rsidR="00B639AF">
        <w:rPr>
          <w:rFonts w:ascii="Verdana" w:hAnsi="Verdana" w:cs="Arial"/>
          <w:sz w:val="20"/>
          <w:szCs w:val="20"/>
        </w:rPr>
        <w:t xml:space="preserve">Clinical </w:t>
      </w:r>
      <w:r>
        <w:rPr>
          <w:rFonts w:ascii="Verdana" w:hAnsi="Verdana" w:cs="Arial"/>
          <w:sz w:val="20"/>
          <w:szCs w:val="20"/>
        </w:rPr>
        <w:t>Research and Actuarial Functions (Clinical Outcomes and Reporting) at Walgreens 2010-4.  Led actuarial work, modeling and reporting for Walgreens ACO initiative (MSSP) and Walgreens worksite Clinic business.  Consulting Chief Actuary and Board Member for New York-based start-up health insurer</w:t>
      </w:r>
      <w:r w:rsidR="004B2A01">
        <w:rPr>
          <w:rFonts w:ascii="Verdana" w:hAnsi="Verdana" w:cs="Arial"/>
          <w:sz w:val="20"/>
          <w:szCs w:val="20"/>
        </w:rPr>
        <w:t xml:space="preserve"> (</w:t>
      </w:r>
      <w:r w:rsidR="00341702">
        <w:rPr>
          <w:rFonts w:ascii="Verdana" w:hAnsi="Verdana" w:cs="Arial"/>
          <w:sz w:val="20"/>
          <w:szCs w:val="20"/>
        </w:rPr>
        <w:t>Freelancers Insurance Co.)</w:t>
      </w:r>
      <w:r>
        <w:rPr>
          <w:rFonts w:ascii="Verdana" w:hAnsi="Verdana" w:cs="Arial"/>
          <w:sz w:val="20"/>
          <w:szCs w:val="20"/>
        </w:rPr>
        <w:t xml:space="preserve">.  </w:t>
      </w:r>
      <w:r w:rsidRPr="00870077">
        <w:rPr>
          <w:rFonts w:ascii="Verdana" w:hAnsi="Verdana" w:cs="Arial"/>
          <w:sz w:val="20"/>
          <w:szCs w:val="20"/>
        </w:rPr>
        <w:t xml:space="preserve">Five years of experience in the Management Consulting Services practice of Price Waterhouse and PwC, leading large systems implementation, </w:t>
      </w:r>
      <w:r>
        <w:rPr>
          <w:rFonts w:ascii="Verdana" w:hAnsi="Verdana" w:cs="Arial"/>
          <w:sz w:val="20"/>
          <w:szCs w:val="20"/>
        </w:rPr>
        <w:t>strategy and process improvement</w:t>
      </w:r>
      <w:r w:rsidRPr="00870077">
        <w:rPr>
          <w:rFonts w:ascii="Verdana" w:hAnsi="Verdana" w:cs="Arial"/>
          <w:sz w:val="20"/>
          <w:szCs w:val="20"/>
        </w:rPr>
        <w:t xml:space="preserve"> projects in the health insurance industry,</w:t>
      </w:r>
      <w:r>
        <w:rPr>
          <w:rFonts w:ascii="Verdana" w:hAnsi="Verdana" w:cs="Arial"/>
          <w:sz w:val="20"/>
          <w:szCs w:val="20"/>
        </w:rPr>
        <w:t xml:space="preserve"> focused on improving financial reporting, planning </w:t>
      </w:r>
      <w:r w:rsidRPr="00870077">
        <w:rPr>
          <w:rFonts w:ascii="Verdana" w:hAnsi="Verdana" w:cs="Arial"/>
          <w:sz w:val="20"/>
          <w:szCs w:val="20"/>
        </w:rPr>
        <w:t xml:space="preserve">and underwriting systems and processes. </w:t>
      </w:r>
      <w:r>
        <w:rPr>
          <w:rFonts w:ascii="Verdana" w:hAnsi="Verdana" w:cs="Arial"/>
          <w:sz w:val="20"/>
          <w:szCs w:val="20"/>
        </w:rPr>
        <w:t xml:space="preserve"> </w:t>
      </w:r>
      <w:r w:rsidR="0070387A">
        <w:rPr>
          <w:rFonts w:ascii="Verdana" w:hAnsi="Verdana" w:cs="Arial"/>
          <w:sz w:val="20"/>
          <w:szCs w:val="20"/>
        </w:rPr>
        <w:t xml:space="preserve">Between 1995 and 2005, consultant to AARP’s </w:t>
      </w:r>
      <w:r w:rsidR="0070406B">
        <w:rPr>
          <w:rFonts w:ascii="Verdana" w:hAnsi="Verdana" w:cs="Arial"/>
          <w:sz w:val="20"/>
          <w:szCs w:val="20"/>
        </w:rPr>
        <w:t>Insurance Operations.  During this time facilitated the negotiations between AARP and several vendors (United Healthcare; Hartford; New York Life)</w:t>
      </w:r>
      <w:r w:rsidR="007C27D9">
        <w:rPr>
          <w:rFonts w:ascii="Verdana" w:hAnsi="Verdana" w:cs="Arial"/>
          <w:sz w:val="20"/>
          <w:szCs w:val="20"/>
        </w:rPr>
        <w:t xml:space="preserve"> and continued advisory role with respect to vendors.  </w:t>
      </w:r>
      <w:r>
        <w:rPr>
          <w:rFonts w:ascii="Verdana" w:hAnsi="Verdana" w:cs="Arial"/>
          <w:sz w:val="20"/>
          <w:szCs w:val="20"/>
        </w:rPr>
        <w:t xml:space="preserve">Director </w:t>
      </w:r>
      <w:r w:rsidR="007C27D9">
        <w:rPr>
          <w:rFonts w:ascii="Verdana" w:hAnsi="Verdana" w:cs="Arial"/>
          <w:sz w:val="20"/>
          <w:szCs w:val="20"/>
        </w:rPr>
        <w:t>of</w:t>
      </w:r>
      <w:r>
        <w:rPr>
          <w:rFonts w:ascii="Verdana" w:hAnsi="Verdana" w:cs="Arial"/>
          <w:sz w:val="20"/>
          <w:szCs w:val="20"/>
        </w:rPr>
        <w:t xml:space="preserve"> the claims audit practice, Price Waterhouse LLP.  Substantial research background as adjunct research professor (Georgetown Dept. of Health Services, 2007-15</w:t>
      </w:r>
      <w:r w:rsidR="00EA7CE3">
        <w:rPr>
          <w:rFonts w:ascii="Verdana" w:hAnsi="Verdana" w:cs="Arial"/>
          <w:sz w:val="20"/>
          <w:szCs w:val="20"/>
        </w:rPr>
        <w:t>; Kennedy School of Government 2001-10</w:t>
      </w:r>
      <w:r>
        <w:rPr>
          <w:rFonts w:ascii="Verdana" w:hAnsi="Verdana" w:cs="Arial"/>
          <w:sz w:val="20"/>
          <w:szCs w:val="20"/>
        </w:rPr>
        <w:t xml:space="preserve">) and Adjunct Professor in the department of Statistics at the University of California, Santa Barbara (2011- ). </w:t>
      </w:r>
      <w:r w:rsidR="009D77EA">
        <w:rPr>
          <w:rFonts w:ascii="Verdana" w:hAnsi="Verdana" w:cs="Arial"/>
          <w:sz w:val="20"/>
          <w:szCs w:val="20"/>
        </w:rPr>
        <w:t xml:space="preserve"> </w:t>
      </w:r>
      <w:r w:rsidR="002751EB">
        <w:rPr>
          <w:rFonts w:ascii="Verdana" w:hAnsi="Verdana" w:cs="Arial"/>
          <w:sz w:val="20"/>
          <w:szCs w:val="20"/>
        </w:rPr>
        <w:t xml:space="preserve">Government Clients include Massachusetts </w:t>
      </w:r>
      <w:r w:rsidR="002751EB">
        <w:rPr>
          <w:rFonts w:ascii="Verdana" w:hAnsi="Verdana" w:cs="Arial"/>
          <w:sz w:val="20"/>
          <w:szCs w:val="20"/>
        </w:rPr>
        <w:lastRenderedPageBreak/>
        <w:t xml:space="preserve">Medicaid, UK National Health Service and Ministry of Health, Government of Colombia. </w:t>
      </w:r>
      <w:r>
        <w:rPr>
          <w:rFonts w:ascii="Verdana" w:hAnsi="Verdana" w:cs="Arial"/>
          <w:sz w:val="20"/>
          <w:szCs w:val="20"/>
        </w:rPr>
        <w:t xml:space="preserve"> Auth</w:t>
      </w:r>
      <w:r w:rsidR="00B639AF">
        <w:rPr>
          <w:rFonts w:ascii="Verdana" w:hAnsi="Verdana" w:cs="Arial"/>
          <w:sz w:val="20"/>
          <w:szCs w:val="20"/>
        </w:rPr>
        <w:t>or of six books, over 7</w:t>
      </w:r>
      <w:r>
        <w:rPr>
          <w:rFonts w:ascii="Verdana" w:hAnsi="Verdana" w:cs="Arial"/>
          <w:sz w:val="20"/>
          <w:szCs w:val="20"/>
        </w:rPr>
        <w:t>0 peer-reviewed papers and book chapters on health outcomes, predictive modeling</w:t>
      </w:r>
      <w:r w:rsidR="004A4670">
        <w:rPr>
          <w:rFonts w:ascii="Verdana" w:hAnsi="Verdana" w:cs="Arial"/>
          <w:sz w:val="20"/>
          <w:szCs w:val="20"/>
        </w:rPr>
        <w:t>/machine learning</w:t>
      </w:r>
      <w:r>
        <w:rPr>
          <w:rFonts w:ascii="Verdana" w:hAnsi="Verdana" w:cs="Arial"/>
          <w:sz w:val="20"/>
          <w:szCs w:val="20"/>
        </w:rPr>
        <w:t xml:space="preserve"> and risk adjustment.   </w:t>
      </w:r>
    </w:p>
    <w:p w14:paraId="31DAED61" w14:textId="5358D4DD" w:rsidR="005801E1" w:rsidRPr="00870077" w:rsidRDefault="00B639AF" w:rsidP="005801E1">
      <w:pPr>
        <w:spacing w:before="100" w:beforeAutospacing="1" w:after="100" w:afterAutospacing="1"/>
        <w:rPr>
          <w:rFonts w:ascii="Verdana" w:hAnsi="Verdana" w:cs="Arial"/>
          <w:sz w:val="20"/>
          <w:szCs w:val="20"/>
        </w:rPr>
      </w:pPr>
      <w:r>
        <w:rPr>
          <w:rFonts w:ascii="Verdana" w:hAnsi="Verdana" w:cs="Arial"/>
          <w:sz w:val="20"/>
          <w:szCs w:val="20"/>
        </w:rPr>
        <w:t>D</w:t>
      </w:r>
      <w:r w:rsidR="005801E1" w:rsidRPr="00870077">
        <w:rPr>
          <w:rFonts w:ascii="Verdana" w:hAnsi="Verdana" w:cs="Arial"/>
          <w:sz w:val="20"/>
          <w:szCs w:val="20"/>
        </w:rPr>
        <w:t xml:space="preserve">r. Duncan has been a leader in the </w:t>
      </w:r>
      <w:r w:rsidR="005801E1">
        <w:rPr>
          <w:rFonts w:ascii="Verdana" w:hAnsi="Verdana" w:cs="Arial"/>
          <w:sz w:val="20"/>
          <w:szCs w:val="20"/>
        </w:rPr>
        <w:t xml:space="preserve">both the </w:t>
      </w:r>
      <w:r w:rsidR="00EA7CE3">
        <w:rPr>
          <w:rFonts w:ascii="Verdana" w:hAnsi="Verdana" w:cs="Arial"/>
          <w:sz w:val="20"/>
          <w:szCs w:val="20"/>
        </w:rPr>
        <w:t>Managed Care</w:t>
      </w:r>
      <w:r w:rsidR="005801E1" w:rsidRPr="00870077">
        <w:rPr>
          <w:rFonts w:ascii="Verdana" w:hAnsi="Verdana" w:cs="Arial"/>
          <w:sz w:val="20"/>
          <w:szCs w:val="20"/>
        </w:rPr>
        <w:t xml:space="preserve"> industry</w:t>
      </w:r>
      <w:r w:rsidR="005801E1">
        <w:rPr>
          <w:rFonts w:ascii="Verdana" w:hAnsi="Verdana" w:cs="Arial"/>
          <w:sz w:val="20"/>
          <w:szCs w:val="20"/>
        </w:rPr>
        <w:t xml:space="preserve"> and the actuarial profession</w:t>
      </w:r>
      <w:r w:rsidR="005801E1" w:rsidRPr="00870077">
        <w:rPr>
          <w:rFonts w:ascii="Verdana" w:hAnsi="Verdana" w:cs="Arial"/>
          <w:sz w:val="20"/>
          <w:szCs w:val="20"/>
        </w:rPr>
        <w:t xml:space="preserve"> through research, publications (including the </w:t>
      </w:r>
      <w:r w:rsidR="005801E1" w:rsidRPr="00870077">
        <w:rPr>
          <w:rFonts w:ascii="Verdana" w:hAnsi="Verdana" w:cs="Arial"/>
          <w:i/>
          <w:sz w:val="20"/>
          <w:szCs w:val="20"/>
        </w:rPr>
        <w:t>Dictionary of Disease Management Terminology</w:t>
      </w:r>
      <w:r w:rsidR="005801E1">
        <w:rPr>
          <w:rFonts w:ascii="Verdana" w:hAnsi="Verdana" w:cs="Arial"/>
          <w:i/>
          <w:sz w:val="20"/>
          <w:szCs w:val="20"/>
        </w:rPr>
        <w:t xml:space="preserve">, Managing and Evaluating Healthcare Intervention Programs, (2008; </w:t>
      </w:r>
      <w:r w:rsidR="005801E1" w:rsidRPr="008B5C8B">
        <w:rPr>
          <w:rFonts w:ascii="Verdana" w:hAnsi="Verdana" w:cs="Arial"/>
          <w:iCs/>
          <w:sz w:val="20"/>
          <w:szCs w:val="20"/>
        </w:rPr>
        <w:t>2</w:t>
      </w:r>
      <w:r w:rsidR="005801E1" w:rsidRPr="008B5C8B">
        <w:rPr>
          <w:rFonts w:ascii="Verdana" w:hAnsi="Verdana" w:cs="Arial"/>
          <w:iCs/>
          <w:sz w:val="20"/>
          <w:szCs w:val="20"/>
          <w:vertAlign w:val="superscript"/>
        </w:rPr>
        <w:t>nd</w:t>
      </w:r>
      <w:r w:rsidR="005801E1" w:rsidRPr="008B5C8B">
        <w:rPr>
          <w:rFonts w:ascii="Verdana" w:hAnsi="Verdana" w:cs="Arial"/>
          <w:iCs/>
          <w:sz w:val="20"/>
          <w:szCs w:val="20"/>
        </w:rPr>
        <w:t xml:space="preserve"> edition January 2014</w:t>
      </w:r>
      <w:r w:rsidR="005801E1" w:rsidRPr="00870077">
        <w:rPr>
          <w:rFonts w:ascii="Verdana" w:hAnsi="Verdana" w:cs="Arial"/>
          <w:i/>
          <w:sz w:val="20"/>
          <w:szCs w:val="20"/>
        </w:rPr>
        <w:t>)</w:t>
      </w:r>
      <w:r w:rsidR="005801E1">
        <w:rPr>
          <w:rFonts w:ascii="Verdana" w:hAnsi="Verdana" w:cs="Arial"/>
          <w:i/>
          <w:sz w:val="20"/>
          <w:szCs w:val="20"/>
        </w:rPr>
        <w:t>)</w:t>
      </w:r>
      <w:r w:rsidR="005801E1" w:rsidRPr="00870077">
        <w:rPr>
          <w:rFonts w:ascii="Verdana" w:hAnsi="Verdana" w:cs="Arial"/>
          <w:i/>
          <w:sz w:val="20"/>
          <w:szCs w:val="20"/>
        </w:rPr>
        <w:t xml:space="preserve"> </w:t>
      </w:r>
      <w:r w:rsidR="005801E1">
        <w:rPr>
          <w:rFonts w:ascii="Verdana" w:hAnsi="Verdana" w:cs="Arial"/>
          <w:sz w:val="20"/>
          <w:szCs w:val="20"/>
        </w:rPr>
        <w:t xml:space="preserve">and </w:t>
      </w:r>
      <w:r w:rsidR="005801E1">
        <w:rPr>
          <w:rFonts w:ascii="Verdana" w:hAnsi="Verdana" w:cs="Arial"/>
          <w:i/>
          <w:sz w:val="20"/>
          <w:szCs w:val="20"/>
        </w:rPr>
        <w:t>Healthcare Risk Adjustment and Predictive Modeling (201</w:t>
      </w:r>
      <w:r w:rsidR="008B5C8B">
        <w:rPr>
          <w:rFonts w:ascii="Verdana" w:hAnsi="Verdana" w:cs="Arial"/>
          <w:i/>
          <w:sz w:val="20"/>
          <w:szCs w:val="20"/>
        </w:rPr>
        <w:t xml:space="preserve">1; </w:t>
      </w:r>
      <w:r w:rsidR="008B5C8B" w:rsidRPr="008E35FC">
        <w:rPr>
          <w:rFonts w:ascii="Verdana" w:hAnsi="Verdana" w:cs="Arial"/>
          <w:iCs/>
          <w:sz w:val="20"/>
          <w:szCs w:val="20"/>
        </w:rPr>
        <w:t>2</w:t>
      </w:r>
      <w:r w:rsidR="008B5C8B" w:rsidRPr="008E35FC">
        <w:rPr>
          <w:rFonts w:ascii="Verdana" w:hAnsi="Verdana" w:cs="Arial"/>
          <w:iCs/>
          <w:sz w:val="20"/>
          <w:szCs w:val="20"/>
          <w:vertAlign w:val="superscript"/>
        </w:rPr>
        <w:t>nd</w:t>
      </w:r>
      <w:r w:rsidR="008B5C8B" w:rsidRPr="008E35FC">
        <w:rPr>
          <w:rFonts w:ascii="Verdana" w:hAnsi="Verdana" w:cs="Arial"/>
          <w:iCs/>
          <w:sz w:val="20"/>
          <w:szCs w:val="20"/>
        </w:rPr>
        <w:t xml:space="preserve"> </w:t>
      </w:r>
      <w:r w:rsidR="008E35FC" w:rsidRPr="008E35FC">
        <w:rPr>
          <w:rFonts w:ascii="Verdana" w:hAnsi="Verdana" w:cs="Arial"/>
          <w:iCs/>
          <w:sz w:val="20"/>
          <w:szCs w:val="20"/>
        </w:rPr>
        <w:t>edition 2018</w:t>
      </w:r>
      <w:r w:rsidR="005801E1">
        <w:rPr>
          <w:rFonts w:ascii="Verdana" w:hAnsi="Verdana" w:cs="Arial"/>
          <w:i/>
          <w:sz w:val="20"/>
          <w:szCs w:val="20"/>
        </w:rPr>
        <w:t xml:space="preserve">) </w:t>
      </w:r>
      <w:r w:rsidR="005801E1" w:rsidRPr="00870077">
        <w:rPr>
          <w:rFonts w:ascii="Verdana" w:hAnsi="Verdana" w:cs="Arial"/>
          <w:sz w:val="20"/>
          <w:szCs w:val="20"/>
        </w:rPr>
        <w:t xml:space="preserve">and public speaking.  </w:t>
      </w:r>
      <w:r w:rsidR="005801E1">
        <w:rPr>
          <w:rFonts w:ascii="Verdana" w:hAnsi="Verdana" w:cs="Arial"/>
          <w:sz w:val="20"/>
          <w:szCs w:val="20"/>
        </w:rPr>
        <w:t>As a board member of the Commonwealth of Massachusetts Health Insurance Connector Authority (2007-14), contributed to the design and implementation of healthcare reform in Massachusetts and served as a bridge between the insurance industry and regulators responsible for reform.  Author of a study of Massachusetts</w:t>
      </w:r>
      <w:r w:rsidR="00FE2B1B">
        <w:rPr>
          <w:rFonts w:ascii="Verdana" w:hAnsi="Verdana" w:cs="Arial"/>
          <w:sz w:val="20"/>
          <w:szCs w:val="20"/>
        </w:rPr>
        <w:t xml:space="preserve"> health insurance</w:t>
      </w:r>
      <w:r w:rsidR="005801E1">
        <w:rPr>
          <w:rFonts w:ascii="Verdana" w:hAnsi="Verdana" w:cs="Arial"/>
          <w:sz w:val="20"/>
          <w:szCs w:val="20"/>
        </w:rPr>
        <w:t xml:space="preserve"> reform sponsored by Commonwealth Fund</w:t>
      </w:r>
      <w:r>
        <w:rPr>
          <w:rFonts w:ascii="Verdana" w:hAnsi="Verdana" w:cs="Arial"/>
          <w:sz w:val="20"/>
          <w:szCs w:val="20"/>
        </w:rPr>
        <w:t>.</w:t>
      </w:r>
    </w:p>
    <w:p w14:paraId="36D174CF" w14:textId="77777777" w:rsidR="005801E1" w:rsidRPr="00870077" w:rsidRDefault="005801E1" w:rsidP="005801E1">
      <w:pPr>
        <w:pStyle w:val="Heading1"/>
        <w:rPr>
          <w:rFonts w:cs="Arial"/>
          <w:sz w:val="20"/>
          <w:szCs w:val="20"/>
        </w:rPr>
      </w:pPr>
      <w:r w:rsidRPr="00870077">
        <w:rPr>
          <w:rFonts w:cs="Arial"/>
          <w:caps/>
          <w:sz w:val="20"/>
          <w:szCs w:val="20"/>
        </w:rPr>
        <w:t>Professional and Business History </w:t>
      </w:r>
    </w:p>
    <w:p w14:paraId="1C7B097C" w14:textId="75D7DCEA" w:rsidR="005801E1" w:rsidRDefault="005801E1" w:rsidP="005801E1">
      <w:pPr>
        <w:spacing w:before="100" w:beforeAutospacing="1" w:after="100" w:afterAutospacing="1"/>
        <w:rPr>
          <w:rFonts w:ascii="Verdana" w:hAnsi="Verdana" w:cs="Arial"/>
          <w:bCs/>
          <w:sz w:val="20"/>
          <w:szCs w:val="20"/>
        </w:rPr>
      </w:pPr>
      <w:r>
        <w:rPr>
          <w:rFonts w:ascii="Verdana" w:hAnsi="Verdana" w:cs="Arial"/>
          <w:b/>
          <w:bCs/>
          <w:sz w:val="20"/>
          <w:szCs w:val="20"/>
        </w:rPr>
        <w:t>President, Santa Barbara Actuaries Inc. 201</w:t>
      </w:r>
      <w:r w:rsidR="002B4AF7">
        <w:rPr>
          <w:rFonts w:ascii="Verdana" w:hAnsi="Verdana" w:cs="Arial"/>
          <w:b/>
          <w:bCs/>
          <w:sz w:val="20"/>
          <w:szCs w:val="20"/>
        </w:rPr>
        <w:t>5</w:t>
      </w:r>
      <w:r>
        <w:rPr>
          <w:rFonts w:ascii="Verdana" w:hAnsi="Verdana" w:cs="Arial"/>
          <w:b/>
          <w:bCs/>
          <w:sz w:val="20"/>
          <w:szCs w:val="20"/>
        </w:rPr>
        <w:t xml:space="preserve">-.  </w:t>
      </w:r>
      <w:r w:rsidR="005C1164">
        <w:rPr>
          <w:rFonts w:ascii="Verdana" w:hAnsi="Verdana" w:cs="Arial"/>
          <w:b/>
          <w:bCs/>
          <w:sz w:val="20"/>
          <w:szCs w:val="20"/>
        </w:rPr>
        <w:t xml:space="preserve">(Acquired by </w:t>
      </w:r>
      <w:proofErr w:type="spellStart"/>
      <w:r w:rsidR="005C1164">
        <w:rPr>
          <w:rFonts w:ascii="Verdana" w:hAnsi="Verdana" w:cs="Arial"/>
          <w:b/>
          <w:bCs/>
          <w:sz w:val="20"/>
          <w:szCs w:val="20"/>
        </w:rPr>
        <w:t>Arbital</w:t>
      </w:r>
      <w:proofErr w:type="spellEnd"/>
      <w:r w:rsidR="005C1164">
        <w:rPr>
          <w:rFonts w:ascii="Verdana" w:hAnsi="Verdana" w:cs="Arial"/>
          <w:b/>
          <w:bCs/>
          <w:sz w:val="20"/>
          <w:szCs w:val="20"/>
        </w:rPr>
        <w:t xml:space="preserve"> Health Inc. 2023)   </w:t>
      </w:r>
      <w:r>
        <w:rPr>
          <w:rFonts w:ascii="Verdana" w:hAnsi="Verdana" w:cs="Arial"/>
          <w:bCs/>
          <w:sz w:val="20"/>
          <w:szCs w:val="20"/>
        </w:rPr>
        <w:t>Start-up actuarial consulting firm providing data analytics, predictive modeling, strategy consulting and expert opinion</w:t>
      </w:r>
      <w:r w:rsidR="00FE2B1B">
        <w:rPr>
          <w:rFonts w:ascii="Verdana" w:hAnsi="Verdana" w:cs="Arial"/>
          <w:bCs/>
          <w:sz w:val="20"/>
          <w:szCs w:val="20"/>
        </w:rPr>
        <w:t>, focused on value-based contracting</w:t>
      </w:r>
      <w:r>
        <w:rPr>
          <w:rFonts w:ascii="Verdana" w:hAnsi="Verdana" w:cs="Arial"/>
          <w:bCs/>
          <w:sz w:val="20"/>
          <w:szCs w:val="20"/>
        </w:rPr>
        <w:t xml:space="preserve">. </w:t>
      </w:r>
      <w:r w:rsidR="00627689">
        <w:rPr>
          <w:rFonts w:ascii="Verdana" w:hAnsi="Verdana" w:cs="Arial"/>
          <w:bCs/>
          <w:sz w:val="20"/>
          <w:szCs w:val="20"/>
        </w:rPr>
        <w:t xml:space="preserve"> Also develop</w:t>
      </w:r>
      <w:r w:rsidR="008007AE">
        <w:rPr>
          <w:rFonts w:ascii="Verdana" w:hAnsi="Verdana" w:cs="Arial"/>
          <w:bCs/>
          <w:sz w:val="20"/>
          <w:szCs w:val="20"/>
        </w:rPr>
        <w:t>ed</w:t>
      </w:r>
      <w:r w:rsidR="00627689">
        <w:rPr>
          <w:rFonts w:ascii="Verdana" w:hAnsi="Verdana" w:cs="Arial"/>
          <w:bCs/>
          <w:sz w:val="20"/>
          <w:szCs w:val="20"/>
        </w:rPr>
        <w:t xml:space="preserve"> a software platform</w:t>
      </w:r>
      <w:r w:rsidR="009D5CEA">
        <w:rPr>
          <w:rFonts w:ascii="Verdana" w:hAnsi="Verdana" w:cs="Arial"/>
          <w:bCs/>
          <w:sz w:val="20"/>
          <w:szCs w:val="20"/>
        </w:rPr>
        <w:t xml:space="preserve"> (</w:t>
      </w:r>
      <w:proofErr w:type="spellStart"/>
      <w:r w:rsidR="009D5CEA">
        <w:rPr>
          <w:rFonts w:ascii="Verdana" w:hAnsi="Verdana" w:cs="Arial"/>
          <w:bCs/>
          <w:sz w:val="20"/>
          <w:szCs w:val="20"/>
        </w:rPr>
        <w:t>Nvoyance</w:t>
      </w:r>
      <w:proofErr w:type="spellEnd"/>
      <w:r w:rsidR="009D5CEA">
        <w:rPr>
          <w:rFonts w:ascii="Verdana" w:hAnsi="Verdana" w:cs="Arial"/>
          <w:bCs/>
          <w:sz w:val="20"/>
          <w:szCs w:val="20"/>
        </w:rPr>
        <w:t>)</w:t>
      </w:r>
      <w:r w:rsidR="00627689">
        <w:rPr>
          <w:rFonts w:ascii="Verdana" w:hAnsi="Verdana" w:cs="Arial"/>
          <w:bCs/>
          <w:sz w:val="20"/>
          <w:szCs w:val="20"/>
        </w:rPr>
        <w:t xml:space="preserve"> for modeling value-based contract risk</w:t>
      </w:r>
      <w:r w:rsidR="002E7B6D">
        <w:rPr>
          <w:rFonts w:ascii="Verdana" w:hAnsi="Verdana" w:cs="Arial"/>
          <w:bCs/>
          <w:sz w:val="20"/>
          <w:szCs w:val="20"/>
        </w:rPr>
        <w:t xml:space="preserve"> </w:t>
      </w:r>
      <w:r w:rsidR="008007AE">
        <w:rPr>
          <w:rFonts w:ascii="Verdana" w:hAnsi="Verdana" w:cs="Arial"/>
          <w:bCs/>
          <w:sz w:val="20"/>
          <w:szCs w:val="20"/>
        </w:rPr>
        <w:t xml:space="preserve">and </w:t>
      </w:r>
      <w:r w:rsidR="002E7B6D">
        <w:rPr>
          <w:rFonts w:ascii="Verdana" w:hAnsi="Verdana" w:cs="Arial"/>
          <w:bCs/>
          <w:sz w:val="20"/>
          <w:szCs w:val="20"/>
        </w:rPr>
        <w:t xml:space="preserve">employee decision support software company, Consilium Choice LLC. </w:t>
      </w:r>
      <w:r w:rsidR="002E7B6D">
        <w:rPr>
          <w:rFonts w:ascii="Verdana" w:hAnsi="Verdana" w:cs="Arial"/>
          <w:bCs/>
          <w:sz w:val="20"/>
          <w:szCs w:val="20"/>
        </w:rPr>
        <w:t xml:space="preserve">now part of </w:t>
      </w:r>
      <w:proofErr w:type="spellStart"/>
      <w:r w:rsidR="002E7B6D">
        <w:rPr>
          <w:rFonts w:ascii="Verdana" w:hAnsi="Verdana" w:cs="Arial"/>
          <w:bCs/>
          <w:sz w:val="20"/>
          <w:szCs w:val="20"/>
        </w:rPr>
        <w:t>Arbital</w:t>
      </w:r>
      <w:proofErr w:type="spellEnd"/>
      <w:r w:rsidR="002E7B6D">
        <w:rPr>
          <w:rFonts w:ascii="Verdana" w:hAnsi="Verdana" w:cs="Arial"/>
          <w:bCs/>
          <w:sz w:val="20"/>
          <w:szCs w:val="20"/>
        </w:rPr>
        <w:t xml:space="preserve"> Health Inc.</w:t>
      </w:r>
    </w:p>
    <w:p w14:paraId="37279D2F" w14:textId="7542F291" w:rsidR="005801E1" w:rsidRPr="00E47312" w:rsidRDefault="005801E1" w:rsidP="005801E1">
      <w:pPr>
        <w:spacing w:before="100" w:beforeAutospacing="1" w:after="100" w:afterAutospacing="1"/>
        <w:rPr>
          <w:rFonts w:ascii="Verdana" w:hAnsi="Verdana" w:cs="Arial"/>
          <w:bCs/>
          <w:sz w:val="20"/>
          <w:szCs w:val="20"/>
        </w:rPr>
      </w:pPr>
      <w:r>
        <w:rPr>
          <w:rFonts w:ascii="Verdana" w:hAnsi="Verdana" w:cs="Arial"/>
          <w:b/>
          <w:bCs/>
          <w:sz w:val="20"/>
          <w:szCs w:val="20"/>
        </w:rPr>
        <w:t xml:space="preserve">Adjunct Professor, Dept. of Statistics &amp; Applied Probability, University of California, Santa Barbara 2011- .   </w:t>
      </w:r>
      <w:r>
        <w:rPr>
          <w:rFonts w:ascii="Verdana" w:hAnsi="Verdana" w:cs="Arial"/>
          <w:bCs/>
          <w:sz w:val="20"/>
          <w:szCs w:val="20"/>
        </w:rPr>
        <w:t xml:space="preserve">Teaching courses in actuarial statistics and mathematical finance and leading the graduate seminar in actuarial research. </w:t>
      </w:r>
    </w:p>
    <w:p w14:paraId="05C5E454" w14:textId="517B5735" w:rsidR="005801E1" w:rsidRPr="00F45998" w:rsidRDefault="005801E1" w:rsidP="005801E1">
      <w:pPr>
        <w:spacing w:before="100" w:beforeAutospacing="1" w:after="100" w:afterAutospacing="1"/>
        <w:rPr>
          <w:rFonts w:ascii="Verdana" w:hAnsi="Verdana" w:cs="Arial"/>
          <w:bCs/>
          <w:sz w:val="20"/>
          <w:szCs w:val="20"/>
        </w:rPr>
      </w:pPr>
      <w:r>
        <w:rPr>
          <w:rFonts w:ascii="Verdana" w:hAnsi="Verdana" w:cs="Arial"/>
          <w:b/>
          <w:bCs/>
          <w:sz w:val="20"/>
          <w:szCs w:val="20"/>
        </w:rPr>
        <w:t>Vice President,</w:t>
      </w:r>
      <w:r w:rsidR="002E7B6D">
        <w:rPr>
          <w:rFonts w:ascii="Verdana" w:hAnsi="Verdana" w:cs="Arial"/>
          <w:b/>
          <w:bCs/>
          <w:sz w:val="20"/>
          <w:szCs w:val="20"/>
        </w:rPr>
        <w:t xml:space="preserve"> head of Clinical Research,</w:t>
      </w:r>
      <w:r>
        <w:rPr>
          <w:rFonts w:ascii="Verdana" w:hAnsi="Verdana" w:cs="Arial"/>
          <w:b/>
          <w:bCs/>
          <w:sz w:val="20"/>
          <w:szCs w:val="20"/>
        </w:rPr>
        <w:t xml:space="preserve"> Walgreen Co.  2010 - 4.  </w:t>
      </w:r>
      <w:r>
        <w:rPr>
          <w:rFonts w:ascii="Verdana" w:hAnsi="Verdana" w:cs="Arial"/>
          <w:bCs/>
          <w:sz w:val="20"/>
          <w:szCs w:val="20"/>
        </w:rPr>
        <w:t xml:space="preserve">Responsible for establishing the Clinical Research function at Walgreens, integrating analysts from a former reporting area </w:t>
      </w:r>
      <w:r w:rsidRPr="004765AF">
        <w:rPr>
          <w:rFonts w:ascii="Verdana" w:hAnsi="Verdana" w:cs="Arial"/>
          <w:bCs/>
          <w:sz w:val="20"/>
          <w:szCs w:val="20"/>
        </w:rPr>
        <w:t xml:space="preserve">and hiring new management.   Developed and directed policies to address Business Unit needs, trained and mentored staff, and published approximately fifteen new peer-reviewed papers per year on topics ranging from retail pharmacy, specialty pharmacy, immunizations, </w:t>
      </w:r>
      <w:r w:rsidRPr="004765AF">
        <w:rPr>
          <w:rFonts w:ascii="Verdana" w:hAnsi="Verdana"/>
          <w:sz w:val="20"/>
          <w:szCs w:val="20"/>
        </w:rPr>
        <w:t>HIV, infusion</w:t>
      </w:r>
      <w:r w:rsidRPr="004765AF">
        <w:rPr>
          <w:rFonts w:ascii="Verdana" w:hAnsi="Verdana" w:cs="Arial"/>
          <w:bCs/>
          <w:sz w:val="20"/>
          <w:szCs w:val="20"/>
        </w:rPr>
        <w:t xml:space="preserve"> and Value-based benefits.   Led the analytics, predictive modeling, reporting and risk management needs of Walgreens ACO initiatives and employer worksite business unit as it moved from cost-plus to risk-taking contracts.</w:t>
      </w:r>
      <w:r>
        <w:rPr>
          <w:rFonts w:ascii="Verdana" w:hAnsi="Verdana" w:cs="Arial"/>
          <w:bCs/>
          <w:sz w:val="20"/>
          <w:szCs w:val="20"/>
        </w:rPr>
        <w:t xml:space="preserve">  </w:t>
      </w:r>
    </w:p>
    <w:p w14:paraId="13D50C3D" w14:textId="11293A6B" w:rsidR="005801E1" w:rsidRDefault="005801E1" w:rsidP="005801E1">
      <w:pPr>
        <w:spacing w:before="100" w:beforeAutospacing="1" w:after="100" w:afterAutospacing="1"/>
        <w:rPr>
          <w:rFonts w:ascii="Verdana" w:hAnsi="Verdana" w:cs="Arial"/>
          <w:sz w:val="20"/>
          <w:szCs w:val="20"/>
        </w:rPr>
      </w:pPr>
      <w:r w:rsidRPr="00870077">
        <w:rPr>
          <w:rFonts w:ascii="Verdana" w:hAnsi="Verdana" w:cs="Arial"/>
          <w:b/>
          <w:bCs/>
          <w:sz w:val="20"/>
          <w:szCs w:val="20"/>
        </w:rPr>
        <w:t xml:space="preserve">President:  </w:t>
      </w:r>
      <w:proofErr w:type="spellStart"/>
      <w:r w:rsidRPr="00870077">
        <w:rPr>
          <w:rFonts w:ascii="Verdana" w:hAnsi="Verdana" w:cs="Arial"/>
          <w:b/>
          <w:bCs/>
          <w:sz w:val="20"/>
          <w:szCs w:val="20"/>
        </w:rPr>
        <w:t>Solucia</w:t>
      </w:r>
      <w:proofErr w:type="spellEnd"/>
      <w:r w:rsidRPr="00870077">
        <w:rPr>
          <w:rFonts w:ascii="Verdana" w:hAnsi="Verdana" w:cs="Arial"/>
          <w:b/>
          <w:bCs/>
          <w:sz w:val="20"/>
          <w:szCs w:val="20"/>
        </w:rPr>
        <w:t xml:space="preserve"> Inc. (</w:t>
      </w:r>
      <w:r>
        <w:rPr>
          <w:rFonts w:ascii="Verdana" w:hAnsi="Verdana" w:cs="Arial"/>
          <w:b/>
          <w:bCs/>
          <w:sz w:val="20"/>
          <w:szCs w:val="20"/>
        </w:rPr>
        <w:t xml:space="preserve">Founded 1998; full-time </w:t>
      </w:r>
      <w:r w:rsidRPr="00870077">
        <w:rPr>
          <w:rFonts w:ascii="Verdana" w:hAnsi="Verdana" w:cs="Arial"/>
          <w:b/>
          <w:bCs/>
          <w:sz w:val="20"/>
          <w:szCs w:val="20"/>
        </w:rPr>
        <w:t>2003</w:t>
      </w:r>
      <w:r>
        <w:rPr>
          <w:rFonts w:ascii="Verdana" w:hAnsi="Verdana" w:cs="Arial"/>
          <w:b/>
          <w:bCs/>
          <w:sz w:val="20"/>
          <w:szCs w:val="20"/>
        </w:rPr>
        <w:t>-10)</w:t>
      </w:r>
      <w:r w:rsidRPr="00870077">
        <w:rPr>
          <w:rFonts w:ascii="Verdana" w:hAnsi="Verdana" w:cs="Arial"/>
          <w:b/>
          <w:bCs/>
          <w:sz w:val="20"/>
          <w:szCs w:val="20"/>
        </w:rPr>
        <w:t xml:space="preserve">.  </w:t>
      </w:r>
      <w:r>
        <w:rPr>
          <w:rFonts w:ascii="Verdana" w:hAnsi="Verdana" w:cs="Arial"/>
          <w:sz w:val="20"/>
          <w:szCs w:val="20"/>
        </w:rPr>
        <w:t xml:space="preserve">Primary </w:t>
      </w:r>
      <w:r w:rsidRPr="00870077">
        <w:rPr>
          <w:rFonts w:ascii="Verdana" w:hAnsi="Verdana" w:cs="Arial"/>
          <w:sz w:val="20"/>
          <w:szCs w:val="20"/>
        </w:rPr>
        <w:t xml:space="preserve">practice </w:t>
      </w:r>
      <w:r>
        <w:rPr>
          <w:rFonts w:ascii="Verdana" w:hAnsi="Verdana" w:cs="Arial"/>
          <w:sz w:val="20"/>
          <w:szCs w:val="20"/>
        </w:rPr>
        <w:t xml:space="preserve">is </w:t>
      </w:r>
      <w:r w:rsidRPr="00870077">
        <w:rPr>
          <w:rFonts w:ascii="Verdana" w:hAnsi="Verdana" w:cs="Arial"/>
          <w:sz w:val="20"/>
          <w:szCs w:val="20"/>
        </w:rPr>
        <w:t>i</w:t>
      </w:r>
      <w:r w:rsidR="00BD4BB6">
        <w:rPr>
          <w:rFonts w:ascii="Verdana" w:hAnsi="Verdana" w:cs="Arial"/>
          <w:sz w:val="20"/>
          <w:szCs w:val="20"/>
        </w:rPr>
        <w:t xml:space="preserve">n </w:t>
      </w:r>
      <w:r w:rsidRPr="00870077">
        <w:rPr>
          <w:rFonts w:ascii="Verdana" w:hAnsi="Verdana" w:cs="Arial"/>
          <w:sz w:val="20"/>
          <w:szCs w:val="20"/>
        </w:rPr>
        <w:t>Health</w:t>
      </w:r>
      <w:r>
        <w:rPr>
          <w:rFonts w:ascii="Verdana" w:hAnsi="Verdana" w:cs="Arial"/>
          <w:sz w:val="20"/>
          <w:szCs w:val="20"/>
        </w:rPr>
        <w:t>care Analytics, Predictive Modeling, Health Risk Management and Care Management evaluation</w:t>
      </w:r>
      <w:r w:rsidRPr="00870077">
        <w:rPr>
          <w:rFonts w:ascii="Verdana" w:hAnsi="Verdana" w:cs="Arial"/>
          <w:sz w:val="20"/>
          <w:szCs w:val="20"/>
        </w:rPr>
        <w:t xml:space="preserve">.  Clients include </w:t>
      </w:r>
      <w:r>
        <w:rPr>
          <w:rFonts w:ascii="Verdana" w:hAnsi="Verdana" w:cs="Arial"/>
          <w:sz w:val="20"/>
          <w:szCs w:val="20"/>
        </w:rPr>
        <w:t>health plans,</w:t>
      </w:r>
      <w:r w:rsidRPr="00870077">
        <w:rPr>
          <w:rFonts w:ascii="Verdana" w:hAnsi="Verdana" w:cs="Arial"/>
          <w:sz w:val="20"/>
          <w:szCs w:val="20"/>
        </w:rPr>
        <w:t xml:space="preserve"> Disease Management companies</w:t>
      </w:r>
      <w:r>
        <w:rPr>
          <w:rFonts w:ascii="Verdana" w:hAnsi="Verdana" w:cs="Arial"/>
          <w:sz w:val="20"/>
          <w:szCs w:val="20"/>
        </w:rPr>
        <w:t>, Provider Groups, TPAs, State Medicaid agencies, Medicaid MCOs and employers</w:t>
      </w:r>
      <w:r w:rsidRPr="00870077">
        <w:rPr>
          <w:rFonts w:ascii="Verdana" w:hAnsi="Verdana" w:cs="Arial"/>
          <w:sz w:val="20"/>
          <w:szCs w:val="20"/>
        </w:rPr>
        <w:t xml:space="preserve">.  </w:t>
      </w:r>
      <w:proofErr w:type="spellStart"/>
      <w:r>
        <w:rPr>
          <w:rFonts w:ascii="Verdana" w:hAnsi="Verdana" w:cs="Arial"/>
          <w:sz w:val="20"/>
          <w:szCs w:val="20"/>
        </w:rPr>
        <w:t>Solucia</w:t>
      </w:r>
      <w:proofErr w:type="spellEnd"/>
      <w:r>
        <w:rPr>
          <w:rFonts w:ascii="Verdana" w:hAnsi="Verdana" w:cs="Arial"/>
          <w:sz w:val="20"/>
          <w:szCs w:val="20"/>
        </w:rPr>
        <w:t xml:space="preserve"> provided analytics and reporting services for </w:t>
      </w:r>
      <w:proofErr w:type="gramStart"/>
      <w:r>
        <w:rPr>
          <w:rFonts w:ascii="Verdana" w:hAnsi="Verdana" w:cs="Arial"/>
          <w:sz w:val="20"/>
          <w:szCs w:val="20"/>
        </w:rPr>
        <w:t>a large number of</w:t>
      </w:r>
      <w:proofErr w:type="gramEnd"/>
      <w:r>
        <w:rPr>
          <w:rFonts w:ascii="Verdana" w:hAnsi="Verdana" w:cs="Arial"/>
          <w:sz w:val="20"/>
          <w:szCs w:val="20"/>
        </w:rPr>
        <w:t xml:space="preserve"> Blue Cross Blue Shield plans (largest client has 4.5 million lives), and several care management companies.  Worked with clients to develop a value-based benefits product to </w:t>
      </w:r>
      <w:proofErr w:type="gramStart"/>
      <w:r>
        <w:rPr>
          <w:rFonts w:ascii="Verdana" w:hAnsi="Verdana" w:cs="Arial"/>
          <w:sz w:val="20"/>
          <w:szCs w:val="20"/>
        </w:rPr>
        <w:t>incent</w:t>
      </w:r>
      <w:proofErr w:type="gramEnd"/>
      <w:r>
        <w:rPr>
          <w:rFonts w:ascii="Verdana" w:hAnsi="Verdana" w:cs="Arial"/>
          <w:sz w:val="20"/>
          <w:szCs w:val="20"/>
        </w:rPr>
        <w:t xml:space="preserve"> members to use high-quality, low-cost services.   Consulting Chief Actuary and Board member of the Freelancers Insurance Co. a start-up New York health insurer, responsible for pricing, product development and operational support.  </w:t>
      </w:r>
    </w:p>
    <w:p w14:paraId="6F432998" w14:textId="77777777" w:rsidR="005801E1" w:rsidRDefault="005801E1" w:rsidP="005801E1">
      <w:pPr>
        <w:spacing w:before="100" w:beforeAutospacing="1" w:after="100" w:afterAutospacing="1"/>
        <w:rPr>
          <w:rFonts w:ascii="Verdana" w:hAnsi="Verdana" w:cs="Arial"/>
          <w:sz w:val="20"/>
          <w:szCs w:val="20"/>
        </w:rPr>
      </w:pPr>
      <w:r>
        <w:rPr>
          <w:rFonts w:ascii="Verdana" w:hAnsi="Verdana" w:cs="Arial"/>
          <w:sz w:val="20"/>
          <w:szCs w:val="20"/>
        </w:rPr>
        <w:lastRenderedPageBreak/>
        <w:t xml:space="preserve">Based on </w:t>
      </w:r>
      <w:proofErr w:type="spellStart"/>
      <w:r>
        <w:rPr>
          <w:rFonts w:ascii="Verdana" w:hAnsi="Verdana" w:cs="Arial"/>
          <w:sz w:val="20"/>
          <w:szCs w:val="20"/>
        </w:rPr>
        <w:t>Solucia’s</w:t>
      </w:r>
      <w:proofErr w:type="spellEnd"/>
      <w:r>
        <w:rPr>
          <w:rFonts w:ascii="Verdana" w:hAnsi="Verdana" w:cs="Arial"/>
          <w:sz w:val="20"/>
          <w:szCs w:val="20"/>
        </w:rPr>
        <w:t xml:space="preserve"> consulting practice, developed three Software products used by healthcare companies:  </w:t>
      </w:r>
      <w:proofErr w:type="spellStart"/>
      <w:r>
        <w:rPr>
          <w:rFonts w:ascii="Verdana" w:hAnsi="Verdana" w:cs="Arial"/>
          <w:sz w:val="20"/>
          <w:szCs w:val="20"/>
        </w:rPr>
        <w:t>PROSpect</w:t>
      </w:r>
      <w:proofErr w:type="spellEnd"/>
      <w:r>
        <w:rPr>
          <w:rFonts w:ascii="Verdana" w:hAnsi="Verdana" w:cs="Arial"/>
          <w:sz w:val="20"/>
          <w:szCs w:val="20"/>
        </w:rPr>
        <w:t xml:space="preserve">™ (Opportunity Analysis, program optimization and Predictive Modeling); </w:t>
      </w:r>
      <w:proofErr w:type="spellStart"/>
      <w:r>
        <w:rPr>
          <w:rFonts w:ascii="Verdana" w:hAnsi="Verdana" w:cs="Arial"/>
          <w:sz w:val="20"/>
          <w:szCs w:val="20"/>
        </w:rPr>
        <w:t>PROGuide</w:t>
      </w:r>
      <w:proofErr w:type="spellEnd"/>
      <w:r>
        <w:rPr>
          <w:rFonts w:ascii="Verdana" w:hAnsi="Verdana" w:cs="Arial"/>
          <w:sz w:val="20"/>
          <w:szCs w:val="20"/>
        </w:rPr>
        <w:t xml:space="preserve">™ (care management workflow, alerts and patient communications) and </w:t>
      </w:r>
      <w:proofErr w:type="spellStart"/>
      <w:r>
        <w:rPr>
          <w:rFonts w:ascii="Verdana" w:hAnsi="Verdana" w:cs="Arial"/>
          <w:sz w:val="20"/>
          <w:szCs w:val="20"/>
        </w:rPr>
        <w:t>PROFormance</w:t>
      </w:r>
      <w:proofErr w:type="spellEnd"/>
      <w:r>
        <w:rPr>
          <w:rFonts w:ascii="Verdana" w:hAnsi="Verdana" w:cs="Arial"/>
          <w:sz w:val="20"/>
          <w:szCs w:val="20"/>
        </w:rPr>
        <w:t xml:space="preserve">™ (care management outcomes evaluation – financial and clinical).  Software products are used by TPAs, health plans and providers with up to 1 million lives under management. </w:t>
      </w:r>
    </w:p>
    <w:p w14:paraId="7E9F9736" w14:textId="77777777" w:rsidR="005801E1" w:rsidRPr="00870077" w:rsidRDefault="005801E1" w:rsidP="005801E1">
      <w:pPr>
        <w:spacing w:before="100" w:beforeAutospacing="1" w:after="100" w:afterAutospacing="1"/>
        <w:rPr>
          <w:rFonts w:ascii="Verdana" w:hAnsi="Verdana" w:cs="Arial"/>
          <w:sz w:val="20"/>
          <w:szCs w:val="20"/>
        </w:rPr>
      </w:pPr>
      <w:proofErr w:type="spellStart"/>
      <w:r w:rsidRPr="00870077">
        <w:rPr>
          <w:rFonts w:ascii="Verdana" w:hAnsi="Verdana" w:cs="Arial"/>
          <w:b/>
          <w:bCs/>
          <w:sz w:val="20"/>
          <w:szCs w:val="20"/>
        </w:rPr>
        <w:t>Landacorp</w:t>
      </w:r>
      <w:proofErr w:type="spellEnd"/>
      <w:r w:rsidRPr="00870077">
        <w:rPr>
          <w:rFonts w:ascii="Verdana" w:hAnsi="Verdana" w:cs="Arial"/>
          <w:b/>
          <w:bCs/>
          <w:sz w:val="20"/>
          <w:szCs w:val="20"/>
        </w:rPr>
        <w:t>, Inc.:</w:t>
      </w:r>
      <w:r w:rsidRPr="00870077">
        <w:rPr>
          <w:rFonts w:ascii="Verdana" w:hAnsi="Verdana" w:cs="Arial"/>
          <w:sz w:val="20"/>
          <w:szCs w:val="20"/>
        </w:rPr>
        <w:t xml:space="preserve"> Consulting and Analytics Group, General Manager (2000 - 2002).   </w:t>
      </w:r>
      <w:r>
        <w:rPr>
          <w:rFonts w:ascii="Verdana" w:hAnsi="Verdana" w:cs="Arial"/>
          <w:sz w:val="20"/>
          <w:szCs w:val="20"/>
        </w:rPr>
        <w:t>One of the founders of</w:t>
      </w:r>
      <w:r w:rsidRPr="00870077">
        <w:rPr>
          <w:rFonts w:ascii="Verdana" w:hAnsi="Verdana" w:cs="Arial"/>
          <w:sz w:val="20"/>
          <w:szCs w:val="20"/>
        </w:rPr>
        <w:t xml:space="preserve"> CDMS Inc., a startup provider of </w:t>
      </w:r>
      <w:r>
        <w:rPr>
          <w:rFonts w:ascii="Verdana" w:hAnsi="Verdana" w:cs="Arial"/>
          <w:sz w:val="20"/>
          <w:szCs w:val="20"/>
        </w:rPr>
        <w:t xml:space="preserve">Data Management and </w:t>
      </w:r>
      <w:r w:rsidRPr="00870077">
        <w:rPr>
          <w:rFonts w:ascii="Verdana" w:hAnsi="Verdana" w:cs="Arial"/>
          <w:sz w:val="20"/>
          <w:szCs w:val="20"/>
        </w:rPr>
        <w:t>Predict</w:t>
      </w:r>
      <w:r>
        <w:rPr>
          <w:rFonts w:ascii="Verdana" w:hAnsi="Verdana" w:cs="Arial"/>
          <w:sz w:val="20"/>
          <w:szCs w:val="20"/>
        </w:rPr>
        <w:t xml:space="preserve">ive Modeling services. </w:t>
      </w:r>
      <w:r w:rsidRPr="00870077">
        <w:rPr>
          <w:rFonts w:ascii="Verdana" w:hAnsi="Verdana" w:cs="Arial"/>
          <w:sz w:val="20"/>
          <w:szCs w:val="20"/>
        </w:rPr>
        <w:t xml:space="preserve"> </w:t>
      </w:r>
      <w:r>
        <w:rPr>
          <w:rFonts w:ascii="Verdana" w:hAnsi="Verdana" w:cs="Arial"/>
          <w:sz w:val="20"/>
          <w:szCs w:val="20"/>
        </w:rPr>
        <w:t xml:space="preserve">After sale to </w:t>
      </w:r>
      <w:proofErr w:type="spellStart"/>
      <w:r>
        <w:rPr>
          <w:rFonts w:ascii="Verdana" w:hAnsi="Verdana" w:cs="Arial"/>
          <w:sz w:val="20"/>
          <w:szCs w:val="20"/>
        </w:rPr>
        <w:t>Landacorp</w:t>
      </w:r>
      <w:proofErr w:type="spellEnd"/>
      <w:r>
        <w:rPr>
          <w:rFonts w:ascii="Verdana" w:hAnsi="Verdana" w:cs="Arial"/>
          <w:sz w:val="20"/>
          <w:szCs w:val="20"/>
        </w:rPr>
        <w:t xml:space="preserve"> in 2001, </w:t>
      </w:r>
      <w:r w:rsidRPr="00870077">
        <w:rPr>
          <w:rFonts w:ascii="Verdana" w:hAnsi="Verdana" w:cs="Arial"/>
          <w:sz w:val="20"/>
          <w:szCs w:val="20"/>
        </w:rPr>
        <w:t xml:space="preserve">General Manager of the Consulting and Analytics Division of </w:t>
      </w:r>
      <w:proofErr w:type="spellStart"/>
      <w:r w:rsidRPr="00870077">
        <w:rPr>
          <w:rFonts w:ascii="Verdana" w:hAnsi="Verdana" w:cs="Arial"/>
          <w:sz w:val="20"/>
          <w:szCs w:val="20"/>
        </w:rPr>
        <w:t>Landacorp</w:t>
      </w:r>
      <w:proofErr w:type="spellEnd"/>
      <w:r w:rsidRPr="00870077">
        <w:rPr>
          <w:rFonts w:ascii="Verdana" w:hAnsi="Verdana" w:cs="Arial"/>
          <w:sz w:val="20"/>
          <w:szCs w:val="20"/>
        </w:rPr>
        <w:t xml:space="preserve">, Inc., (a Software and Consulting company focusing on data warehousing, data mining, targeting and prediction for the health insurance industry).  Developed </w:t>
      </w:r>
      <w:proofErr w:type="spellStart"/>
      <w:r w:rsidRPr="00870077">
        <w:rPr>
          <w:rFonts w:ascii="Verdana" w:hAnsi="Verdana" w:cs="Arial"/>
          <w:sz w:val="20"/>
          <w:szCs w:val="20"/>
        </w:rPr>
        <w:t>Landacorp’s</w:t>
      </w:r>
      <w:proofErr w:type="spellEnd"/>
      <w:r w:rsidRPr="00870077">
        <w:rPr>
          <w:rFonts w:ascii="Verdana" w:hAnsi="Verdana" w:cs="Arial"/>
          <w:sz w:val="20"/>
          <w:szCs w:val="20"/>
        </w:rPr>
        <w:t xml:space="preserve"> first integrated predictive modeling and care management product with guaranteed savings outcomes provided through reinsurance (first of its kind in U.S.).  Led implementations of DM programs for United Healthcare (Chicago), Health Net of Arizona, M-Plan, Lifeguard and Parkview Hospital.  Staff managed numbered 15 at peak. </w:t>
      </w:r>
      <w:r>
        <w:rPr>
          <w:rFonts w:ascii="Verdana" w:hAnsi="Verdana" w:cs="Arial"/>
          <w:sz w:val="20"/>
          <w:szCs w:val="20"/>
        </w:rPr>
        <w:t xml:space="preserve"> Arizona and Chicago implementation included hiring and managing nurse call center staff on behalf of client. </w:t>
      </w:r>
      <w:r w:rsidRPr="00870077">
        <w:rPr>
          <w:rFonts w:ascii="Verdana" w:hAnsi="Verdana" w:cs="Arial"/>
          <w:sz w:val="20"/>
          <w:szCs w:val="20"/>
        </w:rPr>
        <w:t xml:space="preserve"> Ultimately staff and functions consolidated into another division and </w:t>
      </w:r>
      <w:r>
        <w:rPr>
          <w:rFonts w:ascii="Verdana" w:hAnsi="Verdana" w:cs="Arial"/>
          <w:sz w:val="20"/>
          <w:szCs w:val="20"/>
        </w:rPr>
        <w:t xml:space="preserve">the </w:t>
      </w:r>
      <w:r w:rsidRPr="00870077">
        <w:rPr>
          <w:rFonts w:ascii="Verdana" w:hAnsi="Verdana" w:cs="Arial"/>
          <w:sz w:val="20"/>
          <w:szCs w:val="20"/>
        </w:rPr>
        <w:t xml:space="preserve">division </w:t>
      </w:r>
      <w:r>
        <w:rPr>
          <w:rFonts w:ascii="Verdana" w:hAnsi="Verdana" w:cs="Arial"/>
          <w:sz w:val="20"/>
          <w:szCs w:val="20"/>
        </w:rPr>
        <w:t>was closed</w:t>
      </w:r>
      <w:r w:rsidRPr="00870077">
        <w:rPr>
          <w:rFonts w:ascii="Verdana" w:hAnsi="Verdana" w:cs="Arial"/>
          <w:sz w:val="20"/>
          <w:szCs w:val="20"/>
        </w:rPr>
        <w:t xml:space="preserve"> at end of 2002.  </w:t>
      </w:r>
    </w:p>
    <w:p w14:paraId="4B790181" w14:textId="087DAE82" w:rsidR="005801E1" w:rsidRPr="00870077" w:rsidRDefault="005801E1" w:rsidP="005801E1">
      <w:pPr>
        <w:spacing w:before="100" w:beforeAutospacing="1" w:after="100" w:afterAutospacing="1"/>
        <w:rPr>
          <w:rFonts w:ascii="Verdana" w:hAnsi="Verdana" w:cs="Arial"/>
          <w:sz w:val="20"/>
          <w:szCs w:val="20"/>
        </w:rPr>
      </w:pPr>
      <w:r w:rsidRPr="00870077">
        <w:rPr>
          <w:rFonts w:ascii="Verdana" w:hAnsi="Verdana" w:cs="Arial"/>
          <w:b/>
          <w:bCs/>
          <w:sz w:val="20"/>
          <w:szCs w:val="20"/>
        </w:rPr>
        <w:t>PricewaterhouseCoopers LLP</w:t>
      </w:r>
      <w:r w:rsidRPr="00870077">
        <w:rPr>
          <w:rFonts w:ascii="Verdana" w:hAnsi="Verdana" w:cs="Arial"/>
          <w:sz w:val="20"/>
          <w:szCs w:val="20"/>
        </w:rPr>
        <w:t>: Direc</w:t>
      </w:r>
      <w:r w:rsidR="00BD4BB6">
        <w:rPr>
          <w:rFonts w:ascii="Verdana" w:hAnsi="Verdana" w:cs="Arial"/>
          <w:sz w:val="20"/>
          <w:szCs w:val="20"/>
        </w:rPr>
        <w:t>t</w:t>
      </w:r>
      <w:r w:rsidRPr="00870077">
        <w:rPr>
          <w:rFonts w:ascii="Verdana" w:hAnsi="Verdana" w:cs="Arial"/>
          <w:sz w:val="20"/>
          <w:szCs w:val="20"/>
        </w:rPr>
        <w:t>or, Management Consulting Services (199</w:t>
      </w:r>
      <w:r w:rsidR="00BD4BB6">
        <w:rPr>
          <w:rFonts w:ascii="Verdana" w:hAnsi="Verdana" w:cs="Arial"/>
          <w:sz w:val="20"/>
          <w:szCs w:val="20"/>
        </w:rPr>
        <w:t>5</w:t>
      </w:r>
      <w:r w:rsidRPr="00870077">
        <w:rPr>
          <w:rFonts w:ascii="Verdana" w:hAnsi="Verdana" w:cs="Arial"/>
          <w:sz w:val="20"/>
          <w:szCs w:val="20"/>
        </w:rPr>
        <w:t>-2000) and Employee Benefits Services (1991-</w:t>
      </w:r>
      <w:r w:rsidR="00E669B8">
        <w:rPr>
          <w:rFonts w:ascii="Verdana" w:hAnsi="Verdana" w:cs="Arial"/>
          <w:sz w:val="20"/>
          <w:szCs w:val="20"/>
        </w:rPr>
        <w:t>5</w:t>
      </w:r>
      <w:r w:rsidRPr="00870077">
        <w:rPr>
          <w:rFonts w:ascii="Verdana" w:hAnsi="Verdana" w:cs="Arial"/>
          <w:sz w:val="20"/>
          <w:szCs w:val="20"/>
        </w:rPr>
        <w:t xml:space="preserve">).   Between 1996 and 1999, led the transition of AARP’s health insurance businesses (Medicare Supplement and Long-term Care) from Prudential Healthcare to United Healthcare and Metropolitan Life, including vendor identification, program design, contracting and pricing. </w:t>
      </w:r>
      <w:r>
        <w:rPr>
          <w:rFonts w:ascii="Verdana" w:hAnsi="Verdana" w:cs="Arial"/>
          <w:sz w:val="20"/>
          <w:szCs w:val="20"/>
        </w:rPr>
        <w:t xml:space="preserve">Led the </w:t>
      </w:r>
      <w:proofErr w:type="gramStart"/>
      <w:r>
        <w:rPr>
          <w:rFonts w:ascii="Verdana" w:hAnsi="Verdana" w:cs="Arial"/>
          <w:sz w:val="20"/>
          <w:szCs w:val="20"/>
        </w:rPr>
        <w:t>large scale</w:t>
      </w:r>
      <w:proofErr w:type="gramEnd"/>
      <w:r>
        <w:rPr>
          <w:rFonts w:ascii="Verdana" w:hAnsi="Verdana" w:cs="Arial"/>
          <w:sz w:val="20"/>
          <w:szCs w:val="20"/>
        </w:rPr>
        <w:t xml:space="preserve"> merger/acquisition project that resulted from AARP’s decision to transfer business to UnitedHealthcare (medical) and MetLife (LTC) (</w:t>
      </w:r>
      <w:r w:rsidRPr="00870077">
        <w:rPr>
          <w:rFonts w:ascii="Verdana" w:hAnsi="Verdana" w:cs="Arial"/>
          <w:sz w:val="20"/>
          <w:szCs w:val="20"/>
        </w:rPr>
        <w:t>approximately $4.5 billion dollars in premiums and over $1 billion in reserves).   Developed national Medicare Risk network of providers for the A</w:t>
      </w:r>
      <w:r>
        <w:rPr>
          <w:rFonts w:ascii="Verdana" w:hAnsi="Verdana" w:cs="Arial"/>
          <w:sz w:val="20"/>
          <w:szCs w:val="20"/>
        </w:rPr>
        <w:t>ssociation (subsequently discontinued because of legal liability</w:t>
      </w:r>
      <w:r w:rsidRPr="00870077">
        <w:rPr>
          <w:rFonts w:ascii="Verdana" w:hAnsi="Verdana" w:cs="Arial"/>
          <w:sz w:val="20"/>
          <w:szCs w:val="20"/>
        </w:rPr>
        <w:t xml:space="preserve">).  </w:t>
      </w:r>
      <w:r>
        <w:rPr>
          <w:rFonts w:ascii="Verdana" w:hAnsi="Verdana" w:cs="Arial"/>
          <w:sz w:val="20"/>
          <w:szCs w:val="20"/>
        </w:rPr>
        <w:t xml:space="preserve">After the conclusion of the business transfer, continued to advise AARP in multiple projects including EAP (1999-2003).  </w:t>
      </w:r>
      <w:r w:rsidRPr="00870077">
        <w:rPr>
          <w:rFonts w:ascii="Verdana" w:hAnsi="Verdana" w:cs="Arial"/>
          <w:sz w:val="20"/>
          <w:szCs w:val="20"/>
        </w:rPr>
        <w:t xml:space="preserve">Sold and implemented enterprise-wide underwriting systems for CIGNA healthcare and Prudential healthcare. Designed and built marketing illustration software for Retiree Medical and Integrated Disability providers (BCBS Association and Metropolitan Life Disability).  Led </w:t>
      </w:r>
      <w:r>
        <w:rPr>
          <w:rFonts w:ascii="Verdana" w:hAnsi="Verdana" w:cs="Arial"/>
          <w:sz w:val="20"/>
          <w:szCs w:val="20"/>
        </w:rPr>
        <w:t xml:space="preserve">the </w:t>
      </w:r>
      <w:r w:rsidRPr="00870077">
        <w:rPr>
          <w:rFonts w:ascii="Verdana" w:hAnsi="Verdana" w:cs="Arial"/>
          <w:sz w:val="20"/>
          <w:szCs w:val="20"/>
        </w:rPr>
        <w:t>development of</w:t>
      </w:r>
      <w:r>
        <w:rPr>
          <w:rFonts w:ascii="Verdana" w:hAnsi="Verdana" w:cs="Arial"/>
          <w:sz w:val="20"/>
          <w:szCs w:val="20"/>
        </w:rPr>
        <w:t xml:space="preserve"> an automated</w:t>
      </w:r>
      <w:r w:rsidRPr="00870077">
        <w:rPr>
          <w:rFonts w:ascii="Verdana" w:hAnsi="Verdana" w:cs="Arial"/>
          <w:sz w:val="20"/>
          <w:szCs w:val="20"/>
        </w:rPr>
        <w:t xml:space="preserve"> financial plan</w:t>
      </w:r>
      <w:r>
        <w:rPr>
          <w:rFonts w:ascii="Verdana" w:hAnsi="Verdana" w:cs="Arial"/>
          <w:sz w:val="20"/>
          <w:szCs w:val="20"/>
        </w:rPr>
        <w:t xml:space="preserve">ning/projection system for BCBS </w:t>
      </w:r>
      <w:r w:rsidRPr="00870077">
        <w:rPr>
          <w:rFonts w:ascii="Verdana" w:hAnsi="Verdana" w:cs="Arial"/>
          <w:sz w:val="20"/>
          <w:szCs w:val="20"/>
        </w:rPr>
        <w:t xml:space="preserve">Michigan.  Consulted to large employers and managed care companies in the areas of pricing, product development and reserving, strategic planning and re-engineering of services. </w:t>
      </w:r>
      <w:r>
        <w:rPr>
          <w:rFonts w:ascii="Verdana" w:hAnsi="Verdana" w:cs="Arial"/>
          <w:sz w:val="20"/>
          <w:szCs w:val="20"/>
        </w:rPr>
        <w:t xml:space="preserve"> Director responsible for the claims audit practice and claims operations efficiency consulting.   </w:t>
      </w:r>
      <w:r w:rsidRPr="00870077">
        <w:rPr>
          <w:rFonts w:ascii="Verdana" w:hAnsi="Verdana" w:cs="Arial"/>
          <w:sz w:val="20"/>
          <w:szCs w:val="20"/>
        </w:rPr>
        <w:t>Other clients include Aetna Life &amp; Casualty, Federal Crop Insurance Program, CIGNA HealthCare, Prudential Insurance, Zurich Centre Re and Harvard Pilgrim Health Care.</w:t>
      </w:r>
    </w:p>
    <w:p w14:paraId="7C3B9AAF" w14:textId="77777777" w:rsidR="005801E1" w:rsidRDefault="005801E1" w:rsidP="005801E1">
      <w:pPr>
        <w:rPr>
          <w:rFonts w:ascii="Verdana" w:hAnsi="Verdana" w:cs="Arial"/>
          <w:sz w:val="20"/>
          <w:szCs w:val="20"/>
        </w:rPr>
      </w:pPr>
      <w:r w:rsidRPr="00870077">
        <w:rPr>
          <w:rFonts w:ascii="Verdana" w:hAnsi="Verdana" w:cs="Arial"/>
          <w:b/>
          <w:bCs/>
          <w:sz w:val="20"/>
          <w:szCs w:val="20"/>
        </w:rPr>
        <w:t>Aetna Life and Casualty</w:t>
      </w:r>
      <w:r w:rsidRPr="00870077">
        <w:rPr>
          <w:rFonts w:ascii="Verdana" w:hAnsi="Verdana" w:cs="Arial"/>
          <w:sz w:val="20"/>
          <w:szCs w:val="20"/>
        </w:rPr>
        <w:t xml:space="preserve"> (1980-1991): Managing Director of the Aetna Benefits Consulting Group (1989-1991), focusing on healthcare data management and value-added consulting to Aetna’s large customers.  Started the Health Actuarial Consulting Practice (1989) and gre</w:t>
      </w:r>
      <w:r>
        <w:rPr>
          <w:rFonts w:ascii="Verdana" w:hAnsi="Verdana" w:cs="Arial"/>
          <w:sz w:val="20"/>
          <w:szCs w:val="20"/>
        </w:rPr>
        <w:t>w to over $1 million in revenue with</w:t>
      </w:r>
      <w:r w:rsidRPr="00870077">
        <w:rPr>
          <w:rFonts w:ascii="Verdana" w:hAnsi="Verdana" w:cs="Arial"/>
          <w:sz w:val="20"/>
          <w:szCs w:val="20"/>
        </w:rPr>
        <w:t xml:space="preserve"> approximately 35 consultants.</w:t>
      </w:r>
      <w:r>
        <w:rPr>
          <w:rFonts w:ascii="Verdana" w:hAnsi="Verdana" w:cs="Arial"/>
          <w:sz w:val="20"/>
          <w:szCs w:val="20"/>
        </w:rPr>
        <w:t xml:space="preserve"> </w:t>
      </w:r>
    </w:p>
    <w:p w14:paraId="15AA3033" w14:textId="1CD6DD10" w:rsidR="005801E1" w:rsidRDefault="005801E1" w:rsidP="005801E1">
      <w:pPr>
        <w:widowControl w:val="0"/>
        <w:rPr>
          <w:rFonts w:ascii="Verdana" w:hAnsi="Verdana" w:cs="Arial"/>
          <w:sz w:val="20"/>
          <w:szCs w:val="20"/>
        </w:rPr>
      </w:pPr>
      <w:r w:rsidRPr="00870077">
        <w:rPr>
          <w:rFonts w:ascii="Verdana" w:hAnsi="Verdana" w:cs="Arial"/>
          <w:sz w:val="20"/>
          <w:szCs w:val="20"/>
        </w:rPr>
        <w:lastRenderedPageBreak/>
        <w:t>Group Life Insurance</w:t>
      </w:r>
      <w:r>
        <w:rPr>
          <w:rFonts w:ascii="Verdana" w:hAnsi="Verdana" w:cs="Arial"/>
          <w:sz w:val="20"/>
          <w:szCs w:val="20"/>
        </w:rPr>
        <w:t xml:space="preserve"> Product Manager and Group Valuation Actuary (1985-1989).                                                                              Aetna Canada: Group Insurance Actuary (1980-5).  </w:t>
      </w:r>
      <w:r w:rsidRPr="00870077">
        <w:rPr>
          <w:rFonts w:ascii="Verdana" w:hAnsi="Verdana" w:cs="Arial"/>
          <w:sz w:val="20"/>
          <w:szCs w:val="20"/>
        </w:rPr>
        <w:t xml:space="preserve"> </w:t>
      </w:r>
    </w:p>
    <w:p w14:paraId="3D07DB7C" w14:textId="54BCCCF7" w:rsidR="005801E1" w:rsidRPr="00B639AF" w:rsidRDefault="005801E1" w:rsidP="005801E1">
      <w:pPr>
        <w:widowControl w:val="0"/>
        <w:rPr>
          <w:rFonts w:ascii="Verdana" w:hAnsi="Verdana" w:cs="Arial"/>
          <w:b/>
          <w:caps/>
          <w:sz w:val="20"/>
          <w:szCs w:val="20"/>
        </w:rPr>
      </w:pPr>
      <w:r w:rsidRPr="00B639AF">
        <w:rPr>
          <w:rFonts w:ascii="Verdana" w:hAnsi="Verdana" w:cs="Arial"/>
          <w:b/>
          <w:caps/>
          <w:sz w:val="20"/>
          <w:szCs w:val="20"/>
        </w:rPr>
        <w:t>AWARDS</w:t>
      </w:r>
    </w:p>
    <w:p w14:paraId="70D1B544" w14:textId="7C51A1DE" w:rsidR="00B942F6" w:rsidRDefault="002E7B6D" w:rsidP="002E7B6D">
      <w:pPr>
        <w:widowControl w:val="0"/>
        <w:rPr>
          <w:rFonts w:ascii="Verdana" w:hAnsi="Verdana"/>
          <w:sz w:val="20"/>
          <w:szCs w:val="20"/>
        </w:rPr>
      </w:pPr>
      <w:r w:rsidRPr="00870077">
        <w:rPr>
          <w:rFonts w:ascii="Verdana" w:hAnsi="Verdana"/>
          <w:sz w:val="20"/>
          <w:szCs w:val="20"/>
        </w:rPr>
        <w:t>D</w:t>
      </w:r>
      <w:r>
        <w:rPr>
          <w:rFonts w:ascii="Verdana" w:hAnsi="Verdana"/>
          <w:sz w:val="20"/>
          <w:szCs w:val="20"/>
        </w:rPr>
        <w:t xml:space="preserve">isease Management </w:t>
      </w:r>
      <w:r w:rsidRPr="00870077">
        <w:rPr>
          <w:rFonts w:ascii="Verdana" w:hAnsi="Verdana"/>
          <w:sz w:val="20"/>
          <w:szCs w:val="20"/>
        </w:rPr>
        <w:t>A</w:t>
      </w:r>
      <w:r>
        <w:rPr>
          <w:rFonts w:ascii="Verdana" w:hAnsi="Verdana"/>
          <w:sz w:val="20"/>
          <w:szCs w:val="20"/>
        </w:rPr>
        <w:t xml:space="preserve">ssociation of </w:t>
      </w:r>
      <w:r w:rsidRPr="00870077">
        <w:rPr>
          <w:rFonts w:ascii="Verdana" w:hAnsi="Verdana"/>
          <w:sz w:val="20"/>
          <w:szCs w:val="20"/>
        </w:rPr>
        <w:t>A</w:t>
      </w:r>
      <w:r>
        <w:rPr>
          <w:rFonts w:ascii="Verdana" w:hAnsi="Verdana"/>
          <w:sz w:val="20"/>
          <w:szCs w:val="20"/>
        </w:rPr>
        <w:t>merica</w:t>
      </w:r>
      <w:r w:rsidRPr="00870077">
        <w:rPr>
          <w:rFonts w:ascii="Verdana" w:hAnsi="Verdana"/>
          <w:sz w:val="20"/>
          <w:szCs w:val="20"/>
        </w:rPr>
        <w:t xml:space="preserve">: Best published paper on Disease Management, 2003 and 2006.  </w:t>
      </w:r>
      <w:r>
        <w:rPr>
          <w:rFonts w:ascii="Verdana" w:hAnsi="Verdana"/>
          <w:sz w:val="20"/>
          <w:szCs w:val="20"/>
        </w:rPr>
        <w:t xml:space="preserve">                                                                                      </w:t>
      </w:r>
      <w:r w:rsidR="005801E1" w:rsidRPr="00870077">
        <w:rPr>
          <w:rFonts w:ascii="Verdana" w:hAnsi="Verdana"/>
          <w:sz w:val="20"/>
          <w:szCs w:val="20"/>
        </w:rPr>
        <w:t>Society of Actuaries: President’s Award for Pioneering Achievement, 2005.</w:t>
      </w:r>
      <w:r>
        <w:rPr>
          <w:rFonts w:ascii="Verdana" w:hAnsi="Verdana"/>
          <w:sz w:val="20"/>
          <w:szCs w:val="20"/>
        </w:rPr>
        <w:t xml:space="preserve">                       </w:t>
      </w:r>
      <w:r w:rsidR="00996FB8">
        <w:rPr>
          <w:rFonts w:ascii="Verdana" w:hAnsi="Verdana"/>
          <w:sz w:val="20"/>
          <w:szCs w:val="20"/>
        </w:rPr>
        <w:t>Society of Actuaries Distinguished Service Award 20</w:t>
      </w:r>
      <w:r w:rsidR="00D40B3B">
        <w:rPr>
          <w:rFonts w:ascii="Verdana" w:hAnsi="Verdana"/>
          <w:sz w:val="20"/>
          <w:szCs w:val="20"/>
        </w:rPr>
        <w:t>2</w:t>
      </w:r>
      <w:r w:rsidR="00996FB8">
        <w:rPr>
          <w:rFonts w:ascii="Verdana" w:hAnsi="Verdana"/>
          <w:sz w:val="20"/>
          <w:szCs w:val="20"/>
        </w:rPr>
        <w:t xml:space="preserve">1. </w:t>
      </w:r>
      <w:r>
        <w:rPr>
          <w:rFonts w:ascii="Verdana" w:hAnsi="Verdana"/>
          <w:sz w:val="20"/>
          <w:szCs w:val="20"/>
        </w:rPr>
        <w:t xml:space="preserve">                                                     </w:t>
      </w:r>
      <w:r w:rsidR="00CD1305">
        <w:rPr>
          <w:rFonts w:ascii="Verdana" w:hAnsi="Verdana"/>
          <w:sz w:val="20"/>
          <w:szCs w:val="20"/>
        </w:rPr>
        <w:t xml:space="preserve">Society of Actuaries </w:t>
      </w:r>
      <w:r w:rsidR="00B942F6">
        <w:rPr>
          <w:rFonts w:ascii="Verdana" w:hAnsi="Verdana"/>
          <w:sz w:val="20"/>
          <w:szCs w:val="20"/>
        </w:rPr>
        <w:t>Outstanding Presentation Award 2018 and 2023</w:t>
      </w:r>
    </w:p>
    <w:p w14:paraId="69249A52" w14:textId="77777777" w:rsidR="005801E1" w:rsidRPr="00D557A9" w:rsidRDefault="005801E1" w:rsidP="005801E1">
      <w:pPr>
        <w:pStyle w:val="Heading1"/>
        <w:keepNext w:val="0"/>
        <w:widowControl w:val="0"/>
        <w:rPr>
          <w:rFonts w:cs="Arial"/>
          <w:b/>
          <w:bCs/>
          <w:caps/>
          <w:sz w:val="20"/>
          <w:szCs w:val="20"/>
        </w:rPr>
      </w:pPr>
      <w:r w:rsidRPr="00D557A9">
        <w:rPr>
          <w:rFonts w:cs="Arial"/>
          <w:b/>
          <w:bCs/>
          <w:caps/>
          <w:sz w:val="20"/>
          <w:szCs w:val="20"/>
        </w:rPr>
        <w:t>Industry Groups </w:t>
      </w:r>
    </w:p>
    <w:p w14:paraId="55315ABC" w14:textId="77777777" w:rsidR="002E7B6D" w:rsidRDefault="002E7B6D" w:rsidP="005801E1">
      <w:pPr>
        <w:pStyle w:val="Heading1"/>
        <w:keepNext w:val="0"/>
        <w:widowControl w:val="0"/>
        <w:rPr>
          <w:i w:val="0"/>
          <w:sz w:val="20"/>
          <w:szCs w:val="20"/>
        </w:rPr>
      </w:pPr>
    </w:p>
    <w:p w14:paraId="3C41377F" w14:textId="62BBAEE4" w:rsidR="005801E1" w:rsidRDefault="005801E1" w:rsidP="005801E1">
      <w:pPr>
        <w:pStyle w:val="Heading1"/>
        <w:keepNext w:val="0"/>
        <w:widowControl w:val="0"/>
        <w:rPr>
          <w:i w:val="0"/>
          <w:sz w:val="20"/>
          <w:szCs w:val="20"/>
        </w:rPr>
      </w:pPr>
      <w:r w:rsidRPr="00045AA9">
        <w:rPr>
          <w:i w:val="0"/>
          <w:sz w:val="20"/>
          <w:szCs w:val="20"/>
        </w:rPr>
        <w:t>Society of Actuaries:  Chairman of the Health Section Committee on External Relations.    Organizer of the Annual External relations seminar for actuaries and health researchers to discuss topics of joint interest.   Founder and organizer of the SOA’s Predictive modeling conference (5</w:t>
      </w:r>
      <w:r w:rsidRPr="00045AA9">
        <w:rPr>
          <w:i w:val="0"/>
          <w:sz w:val="20"/>
          <w:szCs w:val="20"/>
          <w:vertAlign w:val="superscript"/>
        </w:rPr>
        <w:t xml:space="preserve"> </w:t>
      </w:r>
      <w:r w:rsidRPr="00045AA9">
        <w:rPr>
          <w:i w:val="0"/>
          <w:sz w:val="20"/>
          <w:szCs w:val="20"/>
        </w:rPr>
        <w:t>years).                                                                                                                                           Chair: (2006-7), SOA Council on Education and Research.</w:t>
      </w:r>
      <w:r w:rsidRPr="00045AA9">
        <w:rPr>
          <w:i w:val="0"/>
          <w:sz w:val="20"/>
          <w:szCs w:val="20"/>
        </w:rPr>
        <w:br/>
        <w:t>Editor (2002-4)</w:t>
      </w:r>
      <w:r w:rsidRPr="00045AA9">
        <w:rPr>
          <w:i w:val="0"/>
          <w:iCs w:val="0"/>
          <w:sz w:val="20"/>
          <w:szCs w:val="20"/>
        </w:rPr>
        <w:t>:  "The Independent Consultant" (</w:t>
      </w:r>
      <w:r w:rsidRPr="00045AA9">
        <w:rPr>
          <w:i w:val="0"/>
          <w:sz w:val="20"/>
          <w:szCs w:val="20"/>
        </w:rPr>
        <w:t xml:space="preserve">newsletter for consulting actuaries).                                                                                                      </w:t>
      </w:r>
      <w:r w:rsidR="00996FB8">
        <w:rPr>
          <w:i w:val="0"/>
          <w:sz w:val="20"/>
          <w:szCs w:val="20"/>
        </w:rPr>
        <w:t xml:space="preserve">           </w:t>
      </w:r>
      <w:r w:rsidRPr="00045AA9">
        <w:rPr>
          <w:i w:val="0"/>
          <w:sz w:val="20"/>
          <w:szCs w:val="20"/>
        </w:rPr>
        <w:t xml:space="preserve">Chair, Smaller Consulting Firm Section, SOA (2004-5).                                 </w:t>
      </w:r>
      <w:r w:rsidR="00B25A13">
        <w:rPr>
          <w:i w:val="0"/>
          <w:sz w:val="20"/>
          <w:szCs w:val="20"/>
        </w:rPr>
        <w:t xml:space="preserve">           </w:t>
      </w:r>
      <w:r w:rsidRPr="00045AA9">
        <w:rPr>
          <w:i w:val="0"/>
          <w:sz w:val="20"/>
          <w:szCs w:val="20"/>
        </w:rPr>
        <w:t>Member, American Academy of A</w:t>
      </w:r>
      <w:r>
        <w:rPr>
          <w:i w:val="0"/>
          <w:sz w:val="20"/>
          <w:szCs w:val="20"/>
        </w:rPr>
        <w:t>ctuaries Health Practice Council; Vice-chair, international committee</w:t>
      </w:r>
      <w:r w:rsidRPr="00045AA9">
        <w:rPr>
          <w:i w:val="0"/>
          <w:sz w:val="20"/>
          <w:szCs w:val="20"/>
        </w:rPr>
        <w:t xml:space="preserve">.                        </w:t>
      </w:r>
      <w:r>
        <w:rPr>
          <w:i w:val="0"/>
          <w:sz w:val="20"/>
          <w:szCs w:val="20"/>
        </w:rPr>
        <w:t xml:space="preserve">                    </w:t>
      </w:r>
      <w:r w:rsidRPr="00045AA9">
        <w:rPr>
          <w:i w:val="0"/>
          <w:sz w:val="20"/>
          <w:szCs w:val="20"/>
        </w:rPr>
        <w:t xml:space="preserve">                                       </w:t>
      </w:r>
      <w:r w:rsidR="00B25A13">
        <w:rPr>
          <w:i w:val="0"/>
          <w:sz w:val="20"/>
          <w:szCs w:val="20"/>
        </w:rPr>
        <w:t xml:space="preserve">                           </w:t>
      </w:r>
      <w:r w:rsidRPr="00045AA9">
        <w:rPr>
          <w:i w:val="0"/>
          <w:sz w:val="20"/>
          <w:szCs w:val="20"/>
        </w:rPr>
        <w:t xml:space="preserve">Chair: American Academy of Actuaries workgroup on </w:t>
      </w:r>
      <w:r w:rsidR="00B25A13">
        <w:rPr>
          <w:i w:val="0"/>
          <w:sz w:val="20"/>
          <w:szCs w:val="20"/>
        </w:rPr>
        <w:t>wellness and disease management</w:t>
      </w:r>
      <w:r w:rsidRPr="00045AA9">
        <w:rPr>
          <w:i w:val="0"/>
          <w:sz w:val="20"/>
          <w:szCs w:val="20"/>
        </w:rPr>
        <w:t xml:space="preserve"> </w:t>
      </w:r>
      <w:r>
        <w:rPr>
          <w:i w:val="0"/>
          <w:sz w:val="20"/>
          <w:szCs w:val="20"/>
        </w:rPr>
        <w:t>(2003-2010).</w:t>
      </w:r>
      <w:r w:rsidRPr="00045AA9">
        <w:rPr>
          <w:i w:val="0"/>
          <w:sz w:val="20"/>
          <w:szCs w:val="20"/>
        </w:rPr>
        <w:t xml:space="preserve">                                                                                                    </w:t>
      </w:r>
      <w:r w:rsidR="00B25A13">
        <w:rPr>
          <w:i w:val="0"/>
          <w:sz w:val="20"/>
          <w:szCs w:val="20"/>
        </w:rPr>
        <w:t xml:space="preserve">      </w:t>
      </w:r>
      <w:r w:rsidRPr="00045AA9">
        <w:rPr>
          <w:i w:val="0"/>
          <w:sz w:val="20"/>
          <w:szCs w:val="20"/>
        </w:rPr>
        <w:t>Adjunct Research Professor, Dept. of Health Administration, Georgetown University, Washington D.C. (2007-</w:t>
      </w:r>
      <w:r>
        <w:rPr>
          <w:i w:val="0"/>
          <w:sz w:val="20"/>
          <w:szCs w:val="20"/>
        </w:rPr>
        <w:t>13</w:t>
      </w:r>
      <w:r w:rsidRPr="00045AA9">
        <w:rPr>
          <w:i w:val="0"/>
          <w:sz w:val="20"/>
          <w:szCs w:val="20"/>
        </w:rPr>
        <w:t>)</w:t>
      </w:r>
      <w:r>
        <w:rPr>
          <w:i w:val="0"/>
          <w:sz w:val="20"/>
          <w:szCs w:val="20"/>
        </w:rPr>
        <w:t>.</w:t>
      </w:r>
      <w:r w:rsidRPr="00045AA9">
        <w:rPr>
          <w:i w:val="0"/>
          <w:sz w:val="20"/>
          <w:szCs w:val="20"/>
        </w:rPr>
        <w:t xml:space="preserve"> Principal Investigator, Massachusetts Health Insurance Reform study, funded by the Commonwealth</w:t>
      </w:r>
      <w:r>
        <w:rPr>
          <w:i w:val="0"/>
          <w:sz w:val="20"/>
          <w:szCs w:val="20"/>
        </w:rPr>
        <w:t xml:space="preserve"> Fund. </w:t>
      </w:r>
    </w:p>
    <w:p w14:paraId="2CFAD8B5" w14:textId="49F8A037" w:rsidR="005801E1" w:rsidRDefault="005801E1" w:rsidP="005801E1">
      <w:pPr>
        <w:pStyle w:val="Heading1"/>
        <w:keepNext w:val="0"/>
        <w:widowControl w:val="0"/>
        <w:rPr>
          <w:i w:val="0"/>
          <w:sz w:val="20"/>
          <w:szCs w:val="20"/>
        </w:rPr>
      </w:pPr>
      <w:r w:rsidRPr="00045AA9">
        <w:rPr>
          <w:i w:val="0"/>
          <w:sz w:val="20"/>
          <w:szCs w:val="20"/>
        </w:rPr>
        <w:t>Research Associate, Harvard Healthcare Delivery Program, Kennedy School of Go</w:t>
      </w:r>
      <w:r>
        <w:rPr>
          <w:i w:val="0"/>
          <w:sz w:val="20"/>
          <w:szCs w:val="20"/>
        </w:rPr>
        <w:t>vernment at Harvard University (2003-8).</w:t>
      </w:r>
      <w:r w:rsidRPr="00045AA9">
        <w:rPr>
          <w:i w:val="0"/>
          <w:sz w:val="20"/>
          <w:szCs w:val="20"/>
        </w:rPr>
        <w:t xml:space="preserve"> </w:t>
      </w:r>
      <w:r w:rsidRPr="00045AA9">
        <w:rPr>
          <w:i w:val="0"/>
          <w:sz w:val="20"/>
          <w:szCs w:val="20"/>
        </w:rPr>
        <w:tab/>
      </w:r>
      <w:r w:rsidRPr="00045AA9">
        <w:rPr>
          <w:i w:val="0"/>
          <w:sz w:val="20"/>
          <w:szCs w:val="20"/>
        </w:rPr>
        <w:tab/>
      </w:r>
      <w:r w:rsidRPr="00045AA9">
        <w:rPr>
          <w:i w:val="0"/>
          <w:sz w:val="20"/>
          <w:szCs w:val="20"/>
        </w:rPr>
        <w:tab/>
        <w:t xml:space="preserve">                   </w:t>
      </w:r>
      <w:r w:rsidRPr="00045AA9">
        <w:rPr>
          <w:i w:val="0"/>
          <w:sz w:val="20"/>
          <w:szCs w:val="20"/>
        </w:rPr>
        <w:tab/>
      </w:r>
      <w:r w:rsidRPr="00045AA9">
        <w:rPr>
          <w:i w:val="0"/>
          <w:sz w:val="20"/>
          <w:szCs w:val="20"/>
        </w:rPr>
        <w:tab/>
        <w:t xml:space="preserve">       </w:t>
      </w:r>
      <w:r w:rsidR="00B25A13">
        <w:rPr>
          <w:i w:val="0"/>
          <w:sz w:val="20"/>
          <w:szCs w:val="20"/>
        </w:rPr>
        <w:t xml:space="preserve">              </w:t>
      </w:r>
      <w:r w:rsidRPr="00045AA9">
        <w:rPr>
          <w:i w:val="0"/>
          <w:sz w:val="20"/>
          <w:szCs w:val="20"/>
        </w:rPr>
        <w:t>Member, Agency for Healthcare Research and Quality, (DHHS) Committee on Economics of Care Management.</w:t>
      </w:r>
    </w:p>
    <w:p w14:paraId="70759F7B" w14:textId="77777777" w:rsidR="008D6840" w:rsidRDefault="005801E1" w:rsidP="005801E1">
      <w:pPr>
        <w:pStyle w:val="Heading1"/>
        <w:rPr>
          <w:i w:val="0"/>
          <w:sz w:val="20"/>
          <w:szCs w:val="20"/>
        </w:rPr>
      </w:pPr>
      <w:r w:rsidRPr="00045AA9">
        <w:rPr>
          <w:i w:val="0"/>
          <w:sz w:val="20"/>
          <w:szCs w:val="20"/>
        </w:rPr>
        <w:t xml:space="preserve">Member, Quality and Research Committee, Disease Management Association of America.                                                                                                                                                                                                        Principal Investigator, Society of Actuaries project to evaluate care management measurement methodologies (2003-6).  </w:t>
      </w:r>
    </w:p>
    <w:p w14:paraId="73F1A718" w14:textId="2519671B" w:rsidR="00DF2CBC" w:rsidRDefault="00DF2CBC" w:rsidP="005801E1">
      <w:pPr>
        <w:pStyle w:val="Heading1"/>
        <w:rPr>
          <w:i w:val="0"/>
          <w:sz w:val="20"/>
          <w:szCs w:val="20"/>
        </w:rPr>
      </w:pPr>
      <w:r>
        <w:rPr>
          <w:i w:val="0"/>
          <w:sz w:val="20"/>
          <w:szCs w:val="20"/>
        </w:rPr>
        <w:t>Chair</w:t>
      </w:r>
      <w:r w:rsidR="008D6840">
        <w:rPr>
          <w:i w:val="0"/>
          <w:sz w:val="20"/>
          <w:szCs w:val="20"/>
        </w:rPr>
        <w:t>, Society of Actuaries Research Executive (20</w:t>
      </w:r>
      <w:r w:rsidR="003B2B41">
        <w:rPr>
          <w:i w:val="0"/>
          <w:sz w:val="20"/>
          <w:szCs w:val="20"/>
        </w:rPr>
        <w:t>1</w:t>
      </w:r>
      <w:r w:rsidR="008D6840">
        <w:rPr>
          <w:i w:val="0"/>
          <w:sz w:val="20"/>
          <w:szCs w:val="20"/>
        </w:rPr>
        <w:t>8-</w:t>
      </w:r>
      <w:r w:rsidR="00FE6126">
        <w:rPr>
          <w:i w:val="0"/>
          <w:sz w:val="20"/>
          <w:szCs w:val="20"/>
        </w:rPr>
        <w:t>9</w:t>
      </w:r>
      <w:r w:rsidR="008D6840">
        <w:rPr>
          <w:i w:val="0"/>
          <w:sz w:val="20"/>
          <w:szCs w:val="20"/>
        </w:rPr>
        <w:t xml:space="preserve">).  </w:t>
      </w:r>
      <w:r w:rsidR="005801E1" w:rsidRPr="00045AA9">
        <w:rPr>
          <w:i w:val="0"/>
          <w:sz w:val="20"/>
          <w:szCs w:val="20"/>
        </w:rPr>
        <w:t xml:space="preserve"> </w:t>
      </w:r>
    </w:p>
    <w:p w14:paraId="51C700ED" w14:textId="77777777" w:rsidR="005801E1" w:rsidRDefault="005801E1" w:rsidP="005801E1">
      <w:pPr>
        <w:pStyle w:val="Heading1"/>
        <w:rPr>
          <w:rFonts w:cs="Arial"/>
          <w:caps/>
          <w:sz w:val="20"/>
          <w:szCs w:val="20"/>
        </w:rPr>
      </w:pPr>
    </w:p>
    <w:p w14:paraId="5A7B58C4" w14:textId="77777777" w:rsidR="005801E1" w:rsidRPr="00D557A9" w:rsidRDefault="005801E1" w:rsidP="005801E1">
      <w:pPr>
        <w:pStyle w:val="Heading1"/>
        <w:rPr>
          <w:rFonts w:cs="Arial"/>
          <w:b/>
          <w:bCs/>
          <w:caps/>
          <w:sz w:val="20"/>
          <w:szCs w:val="20"/>
        </w:rPr>
      </w:pPr>
      <w:r w:rsidRPr="00D557A9">
        <w:rPr>
          <w:rFonts w:cs="Arial"/>
          <w:b/>
          <w:bCs/>
          <w:caps/>
          <w:sz w:val="20"/>
          <w:szCs w:val="20"/>
        </w:rPr>
        <w:t>BOARD MEMBERSHIPS</w:t>
      </w:r>
    </w:p>
    <w:p w14:paraId="49093AC8" w14:textId="77777777" w:rsidR="005801E1" w:rsidRDefault="005801E1" w:rsidP="005801E1">
      <w:pPr>
        <w:pStyle w:val="Heading1"/>
        <w:rPr>
          <w:rFonts w:cs="Arial"/>
          <w:caps/>
          <w:sz w:val="20"/>
          <w:szCs w:val="20"/>
        </w:rPr>
      </w:pPr>
    </w:p>
    <w:p w14:paraId="0220F3DC" w14:textId="77777777" w:rsidR="005801E1" w:rsidRDefault="005801E1" w:rsidP="00E4454A">
      <w:pPr>
        <w:spacing w:after="0" w:line="288" w:lineRule="auto"/>
        <w:rPr>
          <w:rFonts w:ascii="Verdana" w:hAnsi="Verdana"/>
          <w:sz w:val="20"/>
          <w:szCs w:val="20"/>
        </w:rPr>
      </w:pPr>
      <w:r w:rsidRPr="005256AA">
        <w:rPr>
          <w:rFonts w:ascii="Verdana" w:hAnsi="Verdana"/>
          <w:sz w:val="20"/>
          <w:szCs w:val="20"/>
        </w:rPr>
        <w:t xml:space="preserve">Commonwealth of Massachusetts </w:t>
      </w:r>
      <w:r>
        <w:rPr>
          <w:rFonts w:ascii="Verdana" w:hAnsi="Verdana"/>
          <w:sz w:val="20"/>
          <w:szCs w:val="20"/>
        </w:rPr>
        <w:t xml:space="preserve">Health Insurance </w:t>
      </w:r>
      <w:r w:rsidRPr="005256AA">
        <w:rPr>
          <w:rFonts w:ascii="Verdana" w:hAnsi="Verdana"/>
          <w:sz w:val="20"/>
          <w:szCs w:val="20"/>
        </w:rPr>
        <w:t>Connector</w:t>
      </w:r>
      <w:r>
        <w:rPr>
          <w:rFonts w:ascii="Verdana" w:hAnsi="Verdana"/>
          <w:sz w:val="20"/>
          <w:szCs w:val="20"/>
        </w:rPr>
        <w:t xml:space="preserve"> Authority</w:t>
      </w:r>
      <w:r w:rsidRPr="005256AA">
        <w:rPr>
          <w:rFonts w:ascii="Verdana" w:hAnsi="Verdana"/>
          <w:sz w:val="20"/>
          <w:szCs w:val="20"/>
        </w:rPr>
        <w:t xml:space="preserve"> Board</w:t>
      </w:r>
      <w:r>
        <w:rPr>
          <w:rFonts w:ascii="Verdana" w:hAnsi="Verdana"/>
          <w:sz w:val="20"/>
          <w:szCs w:val="20"/>
        </w:rPr>
        <w:t xml:space="preserve"> (2007-14).</w:t>
      </w:r>
    </w:p>
    <w:p w14:paraId="4537F34C" w14:textId="77777777" w:rsidR="005801E1" w:rsidRDefault="005801E1" w:rsidP="00E4454A">
      <w:pPr>
        <w:widowControl w:val="0"/>
        <w:spacing w:after="0" w:line="288" w:lineRule="auto"/>
        <w:rPr>
          <w:rFonts w:ascii="Verdana" w:hAnsi="Verdana"/>
          <w:sz w:val="20"/>
          <w:szCs w:val="20"/>
        </w:rPr>
      </w:pPr>
      <w:r>
        <w:rPr>
          <w:rFonts w:ascii="Verdana" w:hAnsi="Verdana"/>
          <w:sz w:val="20"/>
          <w:szCs w:val="20"/>
        </w:rPr>
        <w:t>Bryan University (Tempe, AZ).  Program in Health Analytics (2012-7).</w:t>
      </w:r>
    </w:p>
    <w:p w14:paraId="0E7D832E" w14:textId="2C738B59" w:rsidR="005801E1" w:rsidRDefault="005801E1" w:rsidP="00E4454A">
      <w:pPr>
        <w:widowControl w:val="0"/>
        <w:spacing w:after="0" w:line="288" w:lineRule="auto"/>
        <w:rPr>
          <w:rFonts w:ascii="Verdana" w:hAnsi="Verdana"/>
          <w:sz w:val="20"/>
          <w:szCs w:val="20"/>
        </w:rPr>
      </w:pPr>
      <w:r>
        <w:rPr>
          <w:rFonts w:ascii="Verdana" w:hAnsi="Verdana"/>
          <w:sz w:val="20"/>
          <w:szCs w:val="20"/>
        </w:rPr>
        <w:t>Society of Actuaries Board of Directors (2012-5)</w:t>
      </w:r>
      <w:r w:rsidR="00D40B3B">
        <w:rPr>
          <w:rFonts w:ascii="Verdana" w:hAnsi="Verdana"/>
          <w:sz w:val="20"/>
          <w:szCs w:val="20"/>
        </w:rPr>
        <w:t>; (2022</w:t>
      </w:r>
      <w:r w:rsidR="009372B7">
        <w:rPr>
          <w:rFonts w:ascii="Verdana" w:hAnsi="Verdana"/>
          <w:sz w:val="20"/>
          <w:szCs w:val="20"/>
        </w:rPr>
        <w:t>-5)</w:t>
      </w:r>
    </w:p>
    <w:p w14:paraId="001E3AA8" w14:textId="77777777" w:rsidR="005801E1" w:rsidRDefault="005801E1" w:rsidP="00E4454A">
      <w:pPr>
        <w:widowControl w:val="0"/>
        <w:spacing w:after="0" w:line="288" w:lineRule="auto"/>
        <w:rPr>
          <w:rFonts w:ascii="Verdana" w:hAnsi="Verdana"/>
          <w:sz w:val="20"/>
          <w:szCs w:val="20"/>
        </w:rPr>
      </w:pPr>
      <w:r>
        <w:rPr>
          <w:rFonts w:ascii="Verdana" w:hAnsi="Verdana"/>
          <w:sz w:val="20"/>
          <w:szCs w:val="20"/>
        </w:rPr>
        <w:t xml:space="preserve">Editorial Board, </w:t>
      </w:r>
      <w:r w:rsidRPr="001D3298">
        <w:rPr>
          <w:rFonts w:ascii="Verdana" w:hAnsi="Verdana"/>
          <w:i/>
          <w:sz w:val="20"/>
          <w:szCs w:val="20"/>
        </w:rPr>
        <w:t>Population Health</w:t>
      </w:r>
      <w:r>
        <w:rPr>
          <w:rFonts w:ascii="Verdana" w:hAnsi="Verdana"/>
          <w:sz w:val="20"/>
          <w:szCs w:val="20"/>
        </w:rPr>
        <w:t xml:space="preserve"> (2011 </w:t>
      </w:r>
      <w:proofErr w:type="gramStart"/>
      <w:r>
        <w:rPr>
          <w:rFonts w:ascii="Verdana" w:hAnsi="Verdana"/>
          <w:sz w:val="20"/>
          <w:szCs w:val="20"/>
        </w:rPr>
        <w:t>- )</w:t>
      </w:r>
      <w:proofErr w:type="gramEnd"/>
    </w:p>
    <w:p w14:paraId="22BCE253" w14:textId="49B3A14D" w:rsidR="005801E1" w:rsidRDefault="005801E1" w:rsidP="00E4454A">
      <w:pPr>
        <w:widowControl w:val="0"/>
        <w:spacing w:after="0" w:line="288" w:lineRule="auto"/>
        <w:rPr>
          <w:rFonts w:ascii="Verdana" w:hAnsi="Verdana"/>
          <w:sz w:val="20"/>
          <w:szCs w:val="20"/>
        </w:rPr>
      </w:pPr>
      <w:r>
        <w:rPr>
          <w:rFonts w:ascii="Verdana" w:hAnsi="Verdana"/>
          <w:sz w:val="20"/>
          <w:szCs w:val="20"/>
        </w:rPr>
        <w:t xml:space="preserve">Deputy Editor, </w:t>
      </w:r>
      <w:r w:rsidRPr="001D3298">
        <w:rPr>
          <w:rFonts w:ascii="Verdana" w:hAnsi="Verdana"/>
          <w:i/>
          <w:sz w:val="20"/>
          <w:szCs w:val="20"/>
        </w:rPr>
        <w:t>North American Actuarial Journal</w:t>
      </w:r>
      <w:r>
        <w:rPr>
          <w:rFonts w:ascii="Verdana" w:hAnsi="Verdana"/>
          <w:sz w:val="20"/>
          <w:szCs w:val="20"/>
        </w:rPr>
        <w:t xml:space="preserve"> (2013 - </w:t>
      </w:r>
      <w:r w:rsidR="009372B7">
        <w:rPr>
          <w:rFonts w:ascii="Verdana" w:hAnsi="Verdana"/>
          <w:sz w:val="20"/>
          <w:szCs w:val="20"/>
        </w:rPr>
        <w:t>2022</w:t>
      </w:r>
      <w:r>
        <w:rPr>
          <w:rFonts w:ascii="Verdana" w:hAnsi="Verdana"/>
          <w:sz w:val="20"/>
          <w:szCs w:val="20"/>
        </w:rPr>
        <w:t>)</w:t>
      </w:r>
    </w:p>
    <w:p w14:paraId="2F005A96" w14:textId="3C843B83" w:rsidR="0025399B" w:rsidRDefault="0025399B" w:rsidP="00E4454A">
      <w:pPr>
        <w:widowControl w:val="0"/>
        <w:spacing w:after="0" w:line="288" w:lineRule="auto"/>
        <w:rPr>
          <w:rFonts w:ascii="Verdana" w:hAnsi="Verdana"/>
          <w:sz w:val="20"/>
          <w:szCs w:val="20"/>
        </w:rPr>
      </w:pPr>
      <w:r>
        <w:rPr>
          <w:rFonts w:ascii="Verdana" w:hAnsi="Verdana"/>
          <w:sz w:val="20"/>
          <w:szCs w:val="20"/>
        </w:rPr>
        <w:t>PATH CCM Advisory Board</w:t>
      </w:r>
      <w:r w:rsidR="002E7B6D">
        <w:rPr>
          <w:rFonts w:ascii="Verdana" w:hAnsi="Verdana"/>
          <w:sz w:val="20"/>
          <w:szCs w:val="20"/>
        </w:rPr>
        <w:t>, Texas A&amp;M University</w:t>
      </w:r>
      <w:r>
        <w:rPr>
          <w:rFonts w:ascii="Verdana" w:hAnsi="Verdana"/>
          <w:sz w:val="20"/>
          <w:szCs w:val="20"/>
        </w:rPr>
        <w:t xml:space="preserve"> (2020 </w:t>
      </w:r>
      <w:proofErr w:type="gramStart"/>
      <w:r>
        <w:rPr>
          <w:rFonts w:ascii="Verdana" w:hAnsi="Verdana"/>
          <w:sz w:val="20"/>
          <w:szCs w:val="20"/>
        </w:rPr>
        <w:t>- )</w:t>
      </w:r>
      <w:proofErr w:type="gramEnd"/>
    </w:p>
    <w:p w14:paraId="686AE692" w14:textId="2D04B895" w:rsidR="00AC40B1" w:rsidRPr="00AC40B1" w:rsidRDefault="00AC40B1" w:rsidP="00E4454A">
      <w:pPr>
        <w:pStyle w:val="Heading1"/>
        <w:spacing w:line="288" w:lineRule="auto"/>
        <w:rPr>
          <w:i w:val="0"/>
          <w:sz w:val="20"/>
          <w:szCs w:val="20"/>
        </w:rPr>
      </w:pPr>
      <w:r w:rsidRPr="00AC40B1">
        <w:rPr>
          <w:i w:val="0"/>
          <w:iCs w:val="0"/>
          <w:sz w:val="20"/>
          <w:szCs w:val="20"/>
        </w:rPr>
        <w:t>Rosenman Institute, UC San Francisco (2020- )</w:t>
      </w:r>
      <w:r>
        <w:rPr>
          <w:sz w:val="20"/>
          <w:szCs w:val="20"/>
        </w:rPr>
        <w:t xml:space="preserve"> </w:t>
      </w:r>
      <w:r>
        <w:rPr>
          <w:i w:val="0"/>
          <w:sz w:val="20"/>
          <w:szCs w:val="20"/>
        </w:rPr>
        <w:t xml:space="preserve">Program in Healthcare Entrepreneurship.  </w:t>
      </w:r>
    </w:p>
    <w:p w14:paraId="635B6BD6" w14:textId="6EC7C3DE" w:rsidR="001D6AF6" w:rsidRPr="001D6AF6" w:rsidRDefault="001D6AF6" w:rsidP="00E4454A">
      <w:pPr>
        <w:widowControl w:val="0"/>
        <w:spacing w:after="0" w:line="288" w:lineRule="auto"/>
        <w:rPr>
          <w:rFonts w:ascii="Verdana" w:hAnsi="Verdana"/>
          <w:sz w:val="20"/>
          <w:szCs w:val="20"/>
        </w:rPr>
      </w:pPr>
      <w:r w:rsidRPr="001D6AF6">
        <w:rPr>
          <w:rFonts w:ascii="Verdana" w:hAnsi="Verdana"/>
          <w:sz w:val="20"/>
          <w:szCs w:val="20"/>
        </w:rPr>
        <w:t>Board of Directors, Clover Insurance Company (2023</w:t>
      </w:r>
      <w:proofErr w:type="gramStart"/>
      <w:r w:rsidRPr="001D6AF6">
        <w:rPr>
          <w:rFonts w:ascii="Verdana" w:hAnsi="Verdana"/>
          <w:sz w:val="20"/>
          <w:szCs w:val="20"/>
        </w:rPr>
        <w:t>-</w:t>
      </w:r>
      <w:r>
        <w:rPr>
          <w:rFonts w:ascii="Verdana" w:hAnsi="Verdana"/>
          <w:sz w:val="20"/>
          <w:szCs w:val="20"/>
        </w:rPr>
        <w:t xml:space="preserve">  )</w:t>
      </w:r>
      <w:proofErr w:type="gramEnd"/>
    </w:p>
    <w:p w14:paraId="7A1CBE29" w14:textId="4BF5F0F5" w:rsidR="002E7B6D" w:rsidRDefault="002E7B6D" w:rsidP="00E4454A">
      <w:pPr>
        <w:widowControl w:val="0"/>
        <w:spacing w:after="0" w:line="288" w:lineRule="auto"/>
        <w:rPr>
          <w:rFonts w:ascii="Verdana" w:hAnsi="Verdana"/>
          <w:sz w:val="20"/>
          <w:szCs w:val="20"/>
        </w:rPr>
      </w:pPr>
      <w:proofErr w:type="spellStart"/>
      <w:r>
        <w:rPr>
          <w:rFonts w:ascii="Verdana" w:hAnsi="Verdana"/>
          <w:sz w:val="20"/>
          <w:szCs w:val="20"/>
        </w:rPr>
        <w:t>Arbital</w:t>
      </w:r>
      <w:proofErr w:type="spellEnd"/>
      <w:r>
        <w:rPr>
          <w:rFonts w:ascii="Verdana" w:hAnsi="Verdana"/>
          <w:sz w:val="20"/>
          <w:szCs w:val="20"/>
        </w:rPr>
        <w:t xml:space="preserve"> Health Inc. (2024</w:t>
      </w:r>
      <w:proofErr w:type="gramStart"/>
      <w:r>
        <w:rPr>
          <w:rFonts w:ascii="Verdana" w:hAnsi="Verdana"/>
          <w:sz w:val="20"/>
          <w:szCs w:val="20"/>
        </w:rPr>
        <w:t>-  )</w:t>
      </w:r>
      <w:proofErr w:type="gramEnd"/>
    </w:p>
    <w:p w14:paraId="77E71FEA" w14:textId="5B5F92CE" w:rsidR="002E7B6D" w:rsidRDefault="00A506E7" w:rsidP="00E4454A">
      <w:pPr>
        <w:widowControl w:val="0"/>
        <w:spacing w:after="0" w:line="288" w:lineRule="auto"/>
        <w:rPr>
          <w:rFonts w:ascii="Verdana" w:hAnsi="Verdana"/>
          <w:sz w:val="20"/>
          <w:szCs w:val="20"/>
        </w:rPr>
      </w:pPr>
      <w:r>
        <w:rPr>
          <w:rFonts w:ascii="Verdana" w:hAnsi="Verdana"/>
          <w:sz w:val="20"/>
          <w:szCs w:val="20"/>
        </w:rPr>
        <w:t>Muss</w:t>
      </w:r>
      <w:r w:rsidR="003225FD">
        <w:rPr>
          <w:rFonts w:ascii="Verdana" w:hAnsi="Verdana"/>
          <w:sz w:val="20"/>
          <w:szCs w:val="20"/>
        </w:rPr>
        <w:t>allem Center for Bio-Design, Stanford University (2024- )</w:t>
      </w:r>
    </w:p>
    <w:p w14:paraId="150BC06F" w14:textId="77777777" w:rsidR="007150D9" w:rsidRDefault="007150D9" w:rsidP="007150D9">
      <w:pPr>
        <w:pStyle w:val="Heading1"/>
        <w:rPr>
          <w:rFonts w:cs="Arial"/>
          <w:caps/>
          <w:sz w:val="20"/>
          <w:szCs w:val="20"/>
        </w:rPr>
      </w:pPr>
    </w:p>
    <w:p w14:paraId="6E20290B" w14:textId="77777777" w:rsidR="00414830" w:rsidRDefault="00414830" w:rsidP="00414830"/>
    <w:p w14:paraId="08CDA4F3" w14:textId="77777777" w:rsidR="005801E1" w:rsidRPr="00D557A9" w:rsidRDefault="005801E1" w:rsidP="0069270F">
      <w:pPr>
        <w:pStyle w:val="Heading1"/>
        <w:keepNext w:val="0"/>
        <w:widowControl w:val="0"/>
        <w:spacing w:after="120"/>
        <w:rPr>
          <w:rFonts w:cs="Arial"/>
          <w:b/>
          <w:bCs/>
          <w:caps/>
          <w:sz w:val="20"/>
          <w:szCs w:val="20"/>
        </w:rPr>
      </w:pPr>
      <w:r w:rsidRPr="00D557A9">
        <w:rPr>
          <w:rFonts w:cs="Arial"/>
          <w:b/>
          <w:bCs/>
          <w:caps/>
          <w:sz w:val="20"/>
          <w:szCs w:val="20"/>
        </w:rPr>
        <w:lastRenderedPageBreak/>
        <w:t xml:space="preserve">Public Presentations </w:t>
      </w:r>
    </w:p>
    <w:p w14:paraId="60824C22" w14:textId="496A8BDD" w:rsidR="005801E1" w:rsidRPr="00870077" w:rsidRDefault="005801E1" w:rsidP="0069270F">
      <w:pPr>
        <w:pStyle w:val="Heading1"/>
        <w:spacing w:after="120"/>
        <w:rPr>
          <w:rFonts w:cs="Arial"/>
          <w:i w:val="0"/>
          <w:sz w:val="20"/>
          <w:szCs w:val="20"/>
        </w:rPr>
      </w:pPr>
      <w:r w:rsidRPr="00870077">
        <w:rPr>
          <w:rFonts w:cs="Arial"/>
          <w:i w:val="0"/>
          <w:caps/>
          <w:sz w:val="20"/>
          <w:szCs w:val="20"/>
        </w:rPr>
        <w:t>F</w:t>
      </w:r>
      <w:r w:rsidRPr="00870077">
        <w:rPr>
          <w:rFonts w:cs="Arial"/>
          <w:i w:val="0"/>
          <w:sz w:val="20"/>
          <w:szCs w:val="20"/>
        </w:rPr>
        <w:t xml:space="preserve">requent speaker at </w:t>
      </w:r>
      <w:r>
        <w:rPr>
          <w:rFonts w:cs="Arial"/>
          <w:i w:val="0"/>
          <w:sz w:val="20"/>
          <w:szCs w:val="20"/>
        </w:rPr>
        <w:t xml:space="preserve">actuarial, health </w:t>
      </w:r>
      <w:r w:rsidRPr="00870077">
        <w:rPr>
          <w:rFonts w:cs="Arial"/>
          <w:i w:val="0"/>
          <w:sz w:val="20"/>
          <w:szCs w:val="20"/>
        </w:rPr>
        <w:t xml:space="preserve">industry and other conferences.  </w:t>
      </w:r>
    </w:p>
    <w:p w14:paraId="01AFA280" w14:textId="77777777" w:rsidR="005801E1" w:rsidRPr="00CF548A" w:rsidRDefault="005801E1" w:rsidP="0069270F">
      <w:pPr>
        <w:spacing w:after="120"/>
      </w:pPr>
    </w:p>
    <w:p w14:paraId="49F9BC6D" w14:textId="6D8A033C" w:rsidR="005801E1" w:rsidRDefault="00F874C3" w:rsidP="005801E1">
      <w:pPr>
        <w:pStyle w:val="Heading1"/>
        <w:rPr>
          <w:rFonts w:cs="Arial"/>
          <w:caps/>
          <w:sz w:val="20"/>
          <w:szCs w:val="20"/>
        </w:rPr>
      </w:pPr>
      <w:r>
        <w:rPr>
          <w:rFonts w:cs="Arial"/>
          <w:caps/>
          <w:sz w:val="20"/>
          <w:szCs w:val="20"/>
        </w:rPr>
        <w:t>Reviewer for numerous actuarial and medical journals</w:t>
      </w:r>
      <w:r w:rsidR="00226ED2">
        <w:rPr>
          <w:rFonts w:cs="Arial"/>
          <w:caps/>
          <w:sz w:val="20"/>
          <w:szCs w:val="20"/>
        </w:rPr>
        <w:t xml:space="preserve"> (+/- </w:t>
      </w:r>
      <w:r w:rsidR="00414830">
        <w:rPr>
          <w:rFonts w:cs="Arial"/>
          <w:caps/>
          <w:sz w:val="20"/>
          <w:szCs w:val="20"/>
        </w:rPr>
        <w:t>8</w:t>
      </w:r>
      <w:r w:rsidR="00226ED2">
        <w:rPr>
          <w:rFonts w:cs="Arial"/>
          <w:caps/>
          <w:sz w:val="20"/>
          <w:szCs w:val="20"/>
        </w:rPr>
        <w:t>0 completed reviews)</w:t>
      </w:r>
    </w:p>
    <w:p w14:paraId="24D9761D" w14:textId="77777777" w:rsidR="00D557A9" w:rsidRDefault="00D557A9" w:rsidP="00D557A9"/>
    <w:p w14:paraId="01DD4884" w14:textId="646ABE1E" w:rsidR="005801E1" w:rsidRPr="00D557A9" w:rsidRDefault="005801E1" w:rsidP="005801E1">
      <w:pPr>
        <w:pStyle w:val="Heading1"/>
        <w:rPr>
          <w:rFonts w:cs="Arial"/>
          <w:b/>
          <w:bCs/>
          <w:caps/>
          <w:sz w:val="20"/>
          <w:szCs w:val="20"/>
        </w:rPr>
      </w:pPr>
      <w:r w:rsidRPr="00D557A9">
        <w:rPr>
          <w:rFonts w:cs="Arial"/>
          <w:b/>
          <w:bCs/>
          <w:caps/>
          <w:sz w:val="20"/>
          <w:szCs w:val="20"/>
        </w:rPr>
        <w:t>PublicationS</w:t>
      </w:r>
    </w:p>
    <w:p w14:paraId="1B1EE54D" w14:textId="5BF94D30" w:rsidR="00DB3465" w:rsidRDefault="00DB3465" w:rsidP="005801E1">
      <w:pPr>
        <w:shd w:val="clear" w:color="auto" w:fill="FFFFFF"/>
        <w:spacing w:line="360" w:lineRule="atLeast"/>
        <w:rPr>
          <w:rFonts w:cstheme="minorHAnsi"/>
          <w:b/>
          <w:bCs/>
          <w:caps/>
          <w:sz w:val="20"/>
          <w:szCs w:val="20"/>
        </w:rPr>
      </w:pPr>
      <w:r>
        <w:rPr>
          <w:rFonts w:cstheme="minorHAnsi"/>
          <w:b/>
          <w:bCs/>
          <w:caps/>
          <w:sz w:val="20"/>
          <w:szCs w:val="20"/>
        </w:rPr>
        <w:t>Papers</w:t>
      </w:r>
    </w:p>
    <w:p w14:paraId="4F597EBA" w14:textId="54804E9E" w:rsidR="00CD5256" w:rsidRDefault="009B1251" w:rsidP="00A24B00">
      <w:pPr>
        <w:pStyle w:val="ListParagraph"/>
        <w:numPr>
          <w:ilvl w:val="0"/>
          <w:numId w:val="1"/>
        </w:numPr>
        <w:outlineLvl w:val="0"/>
        <w:rPr>
          <w:rFonts w:cstheme="minorHAnsi"/>
          <w:sz w:val="20"/>
          <w:szCs w:val="20"/>
        </w:rPr>
      </w:pPr>
      <w:r>
        <w:rPr>
          <w:rFonts w:cstheme="minorHAnsi"/>
          <w:sz w:val="20"/>
          <w:szCs w:val="20"/>
        </w:rPr>
        <w:t xml:space="preserve">Duncan I PhD FSA MAAA </w:t>
      </w:r>
      <w:r w:rsidR="003341FB">
        <w:rPr>
          <w:rFonts w:cstheme="minorHAnsi"/>
          <w:sz w:val="20"/>
          <w:szCs w:val="20"/>
        </w:rPr>
        <w:t xml:space="preserve">Kerr D MB ChB MD </w:t>
      </w:r>
      <w:r w:rsidR="00A85BDF">
        <w:rPr>
          <w:rFonts w:cstheme="minorHAnsi"/>
          <w:sz w:val="20"/>
          <w:szCs w:val="20"/>
        </w:rPr>
        <w:t xml:space="preserve">FRCP FRCPE Huynh N PhD “Transitions in Obesity: An Opportunity for GLP-1 Drugs?”  </w:t>
      </w:r>
      <w:r w:rsidR="00DA392A">
        <w:rPr>
          <w:rFonts w:cstheme="minorHAnsi"/>
          <w:i/>
          <w:iCs/>
          <w:sz w:val="20"/>
          <w:szCs w:val="20"/>
        </w:rPr>
        <w:t xml:space="preserve">European Medical </w:t>
      </w:r>
      <w:proofErr w:type="gramStart"/>
      <w:r w:rsidR="00DA392A">
        <w:rPr>
          <w:rFonts w:cstheme="minorHAnsi"/>
          <w:i/>
          <w:iCs/>
          <w:sz w:val="20"/>
          <w:szCs w:val="20"/>
        </w:rPr>
        <w:t xml:space="preserve">Journal  </w:t>
      </w:r>
      <w:r w:rsidR="00DA392A">
        <w:rPr>
          <w:rFonts w:cstheme="minorHAnsi"/>
          <w:sz w:val="20"/>
          <w:szCs w:val="20"/>
        </w:rPr>
        <w:t>(</w:t>
      </w:r>
      <w:proofErr w:type="gramEnd"/>
      <w:r w:rsidR="00DA392A">
        <w:rPr>
          <w:rFonts w:cstheme="minorHAnsi"/>
          <w:sz w:val="20"/>
          <w:szCs w:val="20"/>
        </w:rPr>
        <w:t xml:space="preserve">Forthcoming 2025). </w:t>
      </w:r>
    </w:p>
    <w:p w14:paraId="4E97C32E" w14:textId="15F767E5" w:rsidR="001A11CE" w:rsidRDefault="00332B41" w:rsidP="00A24B00">
      <w:pPr>
        <w:pStyle w:val="ListParagraph"/>
        <w:numPr>
          <w:ilvl w:val="0"/>
          <w:numId w:val="1"/>
        </w:numPr>
        <w:outlineLvl w:val="0"/>
        <w:rPr>
          <w:rFonts w:cstheme="minorHAnsi"/>
          <w:sz w:val="20"/>
          <w:szCs w:val="20"/>
        </w:rPr>
      </w:pPr>
      <w:r>
        <w:rPr>
          <w:rFonts w:cstheme="minorHAnsi"/>
          <w:sz w:val="20"/>
          <w:szCs w:val="20"/>
        </w:rPr>
        <w:t xml:space="preserve">Wickwire E PhD </w:t>
      </w:r>
      <w:r w:rsidR="00B84A8C">
        <w:rPr>
          <w:rFonts w:cstheme="minorHAnsi"/>
          <w:sz w:val="20"/>
          <w:szCs w:val="20"/>
        </w:rPr>
        <w:t xml:space="preserve">Fernandez C MS Duncan I PhD FSA MAAA Huynh PhD </w:t>
      </w:r>
      <w:r w:rsidR="00CD5256">
        <w:rPr>
          <w:rFonts w:cstheme="minorHAnsi"/>
          <w:sz w:val="20"/>
          <w:szCs w:val="20"/>
        </w:rPr>
        <w:t xml:space="preserve">Watson N </w:t>
      </w:r>
      <w:proofErr w:type="gramStart"/>
      <w:r w:rsidR="00CD5256">
        <w:rPr>
          <w:rFonts w:cstheme="minorHAnsi"/>
          <w:sz w:val="20"/>
          <w:szCs w:val="20"/>
        </w:rPr>
        <w:t xml:space="preserve">MD  </w:t>
      </w:r>
      <w:r w:rsidR="00B84A8C" w:rsidRPr="00B84A8C">
        <w:rPr>
          <w:rFonts w:cstheme="minorHAnsi"/>
          <w:sz w:val="20"/>
          <w:szCs w:val="20"/>
        </w:rPr>
        <w:t>"</w:t>
      </w:r>
      <w:proofErr w:type="gramEnd"/>
      <w:r w:rsidR="00B84A8C" w:rsidRPr="00B84A8C">
        <w:rPr>
          <w:rFonts w:cstheme="minorHAnsi"/>
          <w:sz w:val="20"/>
          <w:szCs w:val="20"/>
        </w:rPr>
        <w:t>Association Between Positive Airway Pressure Therapy and Healthcare Costs Among Older Adults with Comorbid Obstructive Sleep Apnea and Common Chronic Conditions: An Actuarial Analysis"</w:t>
      </w:r>
      <w:r w:rsidR="00B84A8C">
        <w:rPr>
          <w:rFonts w:cstheme="minorHAnsi"/>
          <w:sz w:val="20"/>
          <w:szCs w:val="20"/>
        </w:rPr>
        <w:t xml:space="preserve"> </w:t>
      </w:r>
      <w:r w:rsidR="00B84A8C">
        <w:rPr>
          <w:rFonts w:cstheme="minorHAnsi"/>
          <w:i/>
          <w:iCs/>
          <w:sz w:val="20"/>
          <w:szCs w:val="20"/>
        </w:rPr>
        <w:t xml:space="preserve">SLEEP  </w:t>
      </w:r>
      <w:r w:rsidR="00B84A8C">
        <w:rPr>
          <w:rFonts w:cstheme="minorHAnsi"/>
          <w:sz w:val="20"/>
          <w:szCs w:val="20"/>
        </w:rPr>
        <w:t xml:space="preserve">(Forthcoming 2025).  </w:t>
      </w:r>
    </w:p>
    <w:p w14:paraId="6368A755" w14:textId="44F6E40E" w:rsidR="00AB39CF" w:rsidRPr="001E6168" w:rsidRDefault="002478F0" w:rsidP="00A24B00">
      <w:pPr>
        <w:pStyle w:val="ListParagraph"/>
        <w:numPr>
          <w:ilvl w:val="0"/>
          <w:numId w:val="1"/>
        </w:numPr>
        <w:outlineLvl w:val="0"/>
        <w:rPr>
          <w:rFonts w:cstheme="minorHAnsi"/>
          <w:sz w:val="20"/>
          <w:szCs w:val="20"/>
        </w:rPr>
      </w:pPr>
      <w:r w:rsidRPr="001E6168">
        <w:rPr>
          <w:rFonts w:cstheme="minorHAnsi"/>
          <w:sz w:val="20"/>
          <w:szCs w:val="20"/>
        </w:rPr>
        <w:t xml:space="preserve">Duncan I PhD FSA MAAA, </w:t>
      </w:r>
      <w:r w:rsidR="00964F18" w:rsidRPr="001E6168">
        <w:rPr>
          <w:rFonts w:cstheme="minorHAnsi"/>
          <w:sz w:val="20"/>
          <w:szCs w:val="20"/>
        </w:rPr>
        <w:t xml:space="preserve">Mejia Becerra JD MS, Ahmed T PhD MBA </w:t>
      </w:r>
      <w:r w:rsidR="00077186" w:rsidRPr="001E6168">
        <w:rPr>
          <w:rFonts w:cstheme="minorHAnsi"/>
          <w:sz w:val="20"/>
          <w:szCs w:val="20"/>
        </w:rPr>
        <w:t xml:space="preserve">“A proposed Condition-based Risk Adjustment System for the Colombian Health </w:t>
      </w:r>
      <w:r w:rsidR="007309BE" w:rsidRPr="001E6168">
        <w:rPr>
          <w:rFonts w:cstheme="minorHAnsi"/>
          <w:sz w:val="20"/>
          <w:szCs w:val="20"/>
        </w:rPr>
        <w:t>Insurance Program.”</w:t>
      </w:r>
      <w:r w:rsidR="001E6168" w:rsidRPr="001E6168">
        <w:rPr>
          <w:rFonts w:cstheme="minorHAnsi"/>
          <w:sz w:val="20"/>
          <w:szCs w:val="20"/>
        </w:rPr>
        <w:t xml:space="preserve"> </w:t>
      </w:r>
      <w:r w:rsidR="001E6168" w:rsidRPr="001E6168">
        <w:rPr>
          <w:rFonts w:cstheme="minorHAnsi"/>
          <w:i/>
          <w:iCs/>
          <w:sz w:val="20"/>
          <w:szCs w:val="20"/>
        </w:rPr>
        <w:t xml:space="preserve">North American Actuarial </w:t>
      </w:r>
      <w:proofErr w:type="gramStart"/>
      <w:r w:rsidR="001E6168" w:rsidRPr="001E6168">
        <w:rPr>
          <w:rFonts w:cstheme="minorHAnsi"/>
          <w:i/>
          <w:iCs/>
          <w:sz w:val="20"/>
          <w:szCs w:val="20"/>
        </w:rPr>
        <w:t>Journal</w:t>
      </w:r>
      <w:r w:rsidR="007309BE" w:rsidRPr="001E6168">
        <w:rPr>
          <w:rFonts w:cstheme="minorHAnsi"/>
          <w:sz w:val="20"/>
          <w:szCs w:val="20"/>
        </w:rPr>
        <w:t xml:space="preserve">  </w:t>
      </w:r>
      <w:r w:rsidR="00AB39CF" w:rsidRPr="001E6168">
        <w:rPr>
          <w:rFonts w:cstheme="minorHAnsi"/>
          <w:sz w:val="20"/>
          <w:szCs w:val="20"/>
        </w:rPr>
        <w:t>Published</w:t>
      </w:r>
      <w:proofErr w:type="gramEnd"/>
      <w:r w:rsidR="00AB39CF" w:rsidRPr="001E6168">
        <w:rPr>
          <w:rFonts w:cstheme="minorHAnsi"/>
          <w:sz w:val="20"/>
          <w:szCs w:val="20"/>
        </w:rPr>
        <w:t xml:space="preserve"> online: 22 Aug 2024</w:t>
      </w:r>
      <w:r w:rsidR="001E6168" w:rsidRPr="001E6168">
        <w:rPr>
          <w:rFonts w:cstheme="minorHAnsi"/>
          <w:sz w:val="20"/>
          <w:szCs w:val="20"/>
        </w:rPr>
        <w:t xml:space="preserve">. </w:t>
      </w:r>
      <w:hyperlink r:id="rId7" w:history="1">
        <w:r w:rsidR="00AB39CF" w:rsidRPr="001E6168">
          <w:rPr>
            <w:rStyle w:val="Hyperlink"/>
            <w:rFonts w:cstheme="minorHAnsi"/>
            <w:color w:val="auto"/>
            <w:sz w:val="20"/>
            <w:szCs w:val="20"/>
          </w:rPr>
          <w:t>https://doi.org/10.1080/10920277.2024.2387116</w:t>
        </w:r>
      </w:hyperlink>
    </w:p>
    <w:p w14:paraId="1D6A4CED" w14:textId="6803BE87" w:rsidR="00847CA2" w:rsidRPr="00847CA2" w:rsidRDefault="00A55ECF" w:rsidP="00847CA2">
      <w:pPr>
        <w:pStyle w:val="ListParagraph"/>
        <w:numPr>
          <w:ilvl w:val="0"/>
          <w:numId w:val="1"/>
        </w:numPr>
        <w:outlineLvl w:val="0"/>
        <w:rPr>
          <w:rFonts w:cstheme="minorHAnsi"/>
          <w:i/>
          <w:iCs/>
          <w:sz w:val="20"/>
          <w:szCs w:val="20"/>
        </w:rPr>
      </w:pPr>
      <w:r w:rsidRPr="00EF5084">
        <w:rPr>
          <w:rFonts w:cstheme="minorHAnsi"/>
          <w:sz w:val="20"/>
          <w:szCs w:val="20"/>
        </w:rPr>
        <w:t xml:space="preserve">Duncan I PhD FSA MAAA, Stocking </w:t>
      </w:r>
      <w:r w:rsidR="00965E51" w:rsidRPr="00EF5084">
        <w:rPr>
          <w:rFonts w:cstheme="minorHAnsi"/>
          <w:sz w:val="20"/>
          <w:szCs w:val="20"/>
        </w:rPr>
        <w:t xml:space="preserve">A PhD, Huynh N PhD, Fitzner K PhD and Ahmed T PhD MBA. “The Prevalence of Incontinence and Its Association with </w:t>
      </w:r>
      <w:proofErr w:type="spellStart"/>
      <w:r w:rsidR="00965E51" w:rsidRPr="00EF5084">
        <w:rPr>
          <w:rFonts w:cstheme="minorHAnsi"/>
          <w:sz w:val="20"/>
          <w:szCs w:val="20"/>
        </w:rPr>
        <w:t>Uninary</w:t>
      </w:r>
      <w:proofErr w:type="spellEnd"/>
      <w:r w:rsidR="00965E51" w:rsidRPr="00EF5084">
        <w:rPr>
          <w:rFonts w:cstheme="minorHAnsi"/>
          <w:sz w:val="20"/>
          <w:szCs w:val="20"/>
        </w:rPr>
        <w:t xml:space="preserve"> Tract Infections, Dermatitis, Slips and Falls, and Behavioral Disturbances Among Older Adults in Medicare Fee-for-Service. </w:t>
      </w:r>
      <w:r w:rsidR="00C25F79" w:rsidRPr="00EF5084">
        <w:rPr>
          <w:rFonts w:cstheme="minorHAnsi"/>
          <w:sz w:val="20"/>
          <w:szCs w:val="20"/>
        </w:rPr>
        <w:t>Forthcoming:</w:t>
      </w:r>
      <w:r w:rsidR="00965E51" w:rsidRPr="00EF5084">
        <w:rPr>
          <w:rFonts w:cstheme="minorHAnsi"/>
          <w:sz w:val="20"/>
          <w:szCs w:val="20"/>
        </w:rPr>
        <w:t xml:space="preserve"> </w:t>
      </w:r>
      <w:r w:rsidR="00634CE5" w:rsidRPr="00EF5084">
        <w:rPr>
          <w:rFonts w:cstheme="minorHAnsi"/>
          <w:i/>
          <w:iCs/>
          <w:sz w:val="20"/>
          <w:szCs w:val="20"/>
        </w:rPr>
        <w:t>Journal of Wound</w:t>
      </w:r>
      <w:r w:rsidR="00C25F79" w:rsidRPr="00EF5084">
        <w:rPr>
          <w:rFonts w:cstheme="minorHAnsi"/>
          <w:i/>
          <w:iCs/>
          <w:sz w:val="20"/>
          <w:szCs w:val="20"/>
        </w:rPr>
        <w:t xml:space="preserve"> </w:t>
      </w:r>
      <w:proofErr w:type="spellStart"/>
      <w:r w:rsidR="00C25F79" w:rsidRPr="00EF5084">
        <w:rPr>
          <w:rFonts w:cstheme="minorHAnsi"/>
          <w:i/>
          <w:iCs/>
          <w:sz w:val="20"/>
          <w:szCs w:val="20"/>
        </w:rPr>
        <w:t>Ost</w:t>
      </w:r>
      <w:r w:rsidR="009949E4" w:rsidRPr="00EF5084">
        <w:rPr>
          <w:rFonts w:cstheme="minorHAnsi"/>
          <w:i/>
          <w:iCs/>
          <w:sz w:val="20"/>
          <w:szCs w:val="20"/>
        </w:rPr>
        <w:t>e</w:t>
      </w:r>
      <w:r w:rsidR="00C25F79" w:rsidRPr="00EF5084">
        <w:rPr>
          <w:rFonts w:cstheme="minorHAnsi"/>
          <w:i/>
          <w:iCs/>
          <w:sz w:val="20"/>
          <w:szCs w:val="20"/>
        </w:rPr>
        <w:t>omy</w:t>
      </w:r>
      <w:proofErr w:type="spellEnd"/>
      <w:r w:rsidR="00C25F79" w:rsidRPr="00EF5084">
        <w:rPr>
          <w:rFonts w:cstheme="minorHAnsi"/>
          <w:i/>
          <w:iCs/>
          <w:sz w:val="20"/>
          <w:szCs w:val="20"/>
        </w:rPr>
        <w:t xml:space="preserve"> Continence Nursing. </w:t>
      </w:r>
      <w:r w:rsidR="008A19FF" w:rsidRPr="008A19FF">
        <w:rPr>
          <w:rFonts w:cstheme="minorHAnsi"/>
          <w:sz w:val="20"/>
          <w:szCs w:val="20"/>
        </w:rPr>
        <w:t>2024 Mar-Apr;51(2):138-145</w:t>
      </w:r>
      <w:r w:rsidR="008A19FF">
        <w:rPr>
          <w:rFonts w:cstheme="minorHAnsi"/>
          <w:sz w:val="20"/>
          <w:szCs w:val="20"/>
        </w:rPr>
        <w:t>.</w:t>
      </w:r>
      <w:r w:rsidR="00C25F79" w:rsidRPr="008A19FF">
        <w:rPr>
          <w:rFonts w:cstheme="minorHAnsi"/>
          <w:sz w:val="20"/>
          <w:szCs w:val="20"/>
        </w:rPr>
        <w:t xml:space="preserve"> </w:t>
      </w:r>
      <w:hyperlink r:id="rId8" w:tgtFrame="_blank" w:history="1">
        <w:r w:rsidR="00847CA2" w:rsidRPr="00847CA2">
          <w:rPr>
            <w:rStyle w:val="Hyperlink"/>
            <w:rFonts w:cstheme="minorHAnsi"/>
            <w:color w:val="auto"/>
            <w:sz w:val="20"/>
            <w:szCs w:val="20"/>
          </w:rPr>
          <w:t>10.1097/WON.0000000000001054</w:t>
        </w:r>
      </w:hyperlink>
    </w:p>
    <w:p w14:paraId="7993E255" w14:textId="704EAB2F" w:rsidR="00263C60" w:rsidRDefault="003F2956" w:rsidP="00121873">
      <w:pPr>
        <w:pStyle w:val="ListParagraph"/>
        <w:numPr>
          <w:ilvl w:val="0"/>
          <w:numId w:val="1"/>
        </w:numPr>
        <w:shd w:val="clear" w:color="auto" w:fill="FFFFFF"/>
        <w:outlineLvl w:val="0"/>
        <w:rPr>
          <w:rFonts w:cstheme="minorHAnsi"/>
          <w:sz w:val="20"/>
          <w:szCs w:val="20"/>
        </w:rPr>
      </w:pPr>
      <w:r>
        <w:rPr>
          <w:rFonts w:cstheme="minorHAnsi"/>
          <w:sz w:val="20"/>
          <w:szCs w:val="20"/>
        </w:rPr>
        <w:t xml:space="preserve">Stocking A PhD, Duncan I PhD FSA MAAA, Huynh N PhD.  </w:t>
      </w:r>
      <w:r w:rsidR="008F1BD5">
        <w:rPr>
          <w:rFonts w:cstheme="minorHAnsi"/>
          <w:sz w:val="20"/>
          <w:szCs w:val="20"/>
        </w:rPr>
        <w:t>“</w:t>
      </w:r>
      <w:r w:rsidR="00263C60">
        <w:rPr>
          <w:rFonts w:cstheme="minorHAnsi"/>
          <w:sz w:val="20"/>
          <w:szCs w:val="20"/>
        </w:rPr>
        <w:t>Estimating Underdiagnosis of Patients in Chronically ill Populations</w:t>
      </w:r>
      <w:r w:rsidR="008F1BD5">
        <w:rPr>
          <w:rFonts w:cstheme="minorHAnsi"/>
          <w:sz w:val="20"/>
          <w:szCs w:val="20"/>
        </w:rPr>
        <w:t>”</w:t>
      </w:r>
      <w:r w:rsidR="00D50CF2">
        <w:rPr>
          <w:rFonts w:cstheme="minorHAnsi"/>
          <w:sz w:val="20"/>
          <w:szCs w:val="20"/>
        </w:rPr>
        <w:t xml:space="preserve"> </w:t>
      </w:r>
      <w:r w:rsidR="00D161B8" w:rsidRPr="00D161B8">
        <w:rPr>
          <w:rFonts w:cstheme="minorHAnsi"/>
          <w:sz w:val="20"/>
          <w:szCs w:val="20"/>
        </w:rPr>
        <w:t>Published online: 18 Dec 2023</w:t>
      </w:r>
      <w:r w:rsidR="00D50CF2">
        <w:rPr>
          <w:rFonts w:cstheme="minorHAnsi"/>
          <w:sz w:val="20"/>
          <w:szCs w:val="20"/>
        </w:rPr>
        <w:t>:</w:t>
      </w:r>
      <w:r w:rsidR="00525C12">
        <w:rPr>
          <w:rFonts w:cstheme="minorHAnsi"/>
          <w:sz w:val="20"/>
          <w:szCs w:val="20"/>
        </w:rPr>
        <w:t xml:space="preserve"> </w:t>
      </w:r>
      <w:r w:rsidR="00D50CF2">
        <w:rPr>
          <w:rFonts w:cstheme="minorHAnsi"/>
          <w:i/>
          <w:iCs/>
          <w:sz w:val="20"/>
          <w:szCs w:val="20"/>
        </w:rPr>
        <w:t xml:space="preserve">North American Actuarial Journal.  </w:t>
      </w:r>
      <w:r w:rsidR="00D50CF2">
        <w:rPr>
          <w:rFonts w:cstheme="minorHAnsi"/>
          <w:sz w:val="20"/>
          <w:szCs w:val="20"/>
        </w:rPr>
        <w:t xml:space="preserve">DOI </w:t>
      </w:r>
      <w:r w:rsidR="00B57730">
        <w:rPr>
          <w:rFonts w:cstheme="minorHAnsi"/>
          <w:sz w:val="20"/>
          <w:szCs w:val="20"/>
        </w:rPr>
        <w:t>10.1080/10920277/2023/2281471.</w:t>
      </w:r>
      <w:r w:rsidR="00D50CF2">
        <w:rPr>
          <w:rFonts w:cstheme="minorHAnsi"/>
          <w:i/>
          <w:iCs/>
          <w:sz w:val="20"/>
          <w:szCs w:val="20"/>
        </w:rPr>
        <w:t xml:space="preserve"> </w:t>
      </w:r>
    </w:p>
    <w:p w14:paraId="5283EB3E" w14:textId="77777777" w:rsidR="000E75C3" w:rsidRPr="000E75C3" w:rsidRDefault="00F05472" w:rsidP="000E75C3">
      <w:pPr>
        <w:pStyle w:val="ListParagraph"/>
        <w:numPr>
          <w:ilvl w:val="0"/>
          <w:numId w:val="1"/>
        </w:numPr>
        <w:shd w:val="clear" w:color="auto" w:fill="FFFFFF"/>
        <w:outlineLvl w:val="0"/>
        <w:rPr>
          <w:rStyle w:val="Hyperlink"/>
          <w:rFonts w:cstheme="minorHAnsi"/>
          <w:color w:val="auto"/>
          <w:sz w:val="20"/>
          <w:szCs w:val="20"/>
          <w:u w:val="none"/>
        </w:rPr>
      </w:pPr>
      <w:r w:rsidRPr="00F05472">
        <w:rPr>
          <w:rFonts w:cstheme="minorHAnsi"/>
          <w:sz w:val="20"/>
          <w:szCs w:val="20"/>
        </w:rPr>
        <w:t>Duncan I, Agg</w:t>
      </w:r>
      <w:r w:rsidR="00F57C52">
        <w:rPr>
          <w:rFonts w:cstheme="minorHAnsi"/>
          <w:sz w:val="20"/>
          <w:szCs w:val="20"/>
        </w:rPr>
        <w:t>ar</w:t>
      </w:r>
      <w:r w:rsidRPr="00F05472">
        <w:rPr>
          <w:rFonts w:cstheme="minorHAnsi"/>
          <w:sz w:val="20"/>
          <w:szCs w:val="20"/>
        </w:rPr>
        <w:t xml:space="preserve">wal R, Kerr D, Huynh N.   “New drugs for Obesity: </w:t>
      </w:r>
      <w:proofErr w:type="gramStart"/>
      <w:r w:rsidRPr="00F05472">
        <w:rPr>
          <w:rFonts w:cstheme="minorHAnsi"/>
          <w:sz w:val="20"/>
          <w:szCs w:val="20"/>
        </w:rPr>
        <w:t>is</w:t>
      </w:r>
      <w:proofErr w:type="gramEnd"/>
      <w:r w:rsidRPr="00F05472">
        <w:rPr>
          <w:rFonts w:cstheme="minorHAnsi"/>
          <w:sz w:val="20"/>
          <w:szCs w:val="20"/>
        </w:rPr>
        <w:t xml:space="preserve"> the excitement affordable?”</w:t>
      </w:r>
      <w:r>
        <w:rPr>
          <w:rFonts w:cstheme="minorHAnsi"/>
          <w:sz w:val="20"/>
          <w:szCs w:val="20"/>
        </w:rPr>
        <w:t xml:space="preserve">  </w:t>
      </w:r>
      <w:r w:rsidRPr="009949E4">
        <w:rPr>
          <w:rFonts w:cstheme="minorHAnsi"/>
          <w:i/>
          <w:iCs/>
          <w:sz w:val="20"/>
          <w:szCs w:val="20"/>
        </w:rPr>
        <w:t xml:space="preserve">Population Health Management </w:t>
      </w:r>
      <w:hyperlink r:id="rId9" w:history="1">
        <w:r w:rsidR="00121873" w:rsidRPr="009949E4">
          <w:rPr>
            <w:rStyle w:val="Hyperlink"/>
            <w:rFonts w:cstheme="minorHAnsi"/>
            <w:i/>
            <w:iCs/>
            <w:sz w:val="20"/>
            <w:szCs w:val="20"/>
          </w:rPr>
          <w:t>https://www.liebertpub.com/doi/full/10.1089/pop.2023.0086</w:t>
        </w:r>
      </w:hyperlink>
    </w:p>
    <w:p w14:paraId="17A1CE93" w14:textId="79A097C8" w:rsidR="00E70D40" w:rsidRPr="00296565" w:rsidRDefault="00E70D40" w:rsidP="000E75C3">
      <w:pPr>
        <w:pStyle w:val="ListParagraph"/>
        <w:numPr>
          <w:ilvl w:val="0"/>
          <w:numId w:val="1"/>
        </w:numPr>
        <w:shd w:val="clear" w:color="auto" w:fill="FFFFFF"/>
        <w:outlineLvl w:val="0"/>
        <w:rPr>
          <w:rStyle w:val="Hyperlink"/>
          <w:rFonts w:cstheme="minorHAnsi"/>
          <w:color w:val="auto"/>
          <w:sz w:val="20"/>
          <w:szCs w:val="20"/>
          <w:u w:val="none"/>
        </w:rPr>
      </w:pPr>
      <w:r w:rsidRPr="00296565">
        <w:rPr>
          <w:rStyle w:val="Hyperlink"/>
          <w:rFonts w:cstheme="minorHAnsi"/>
          <w:color w:val="auto"/>
          <w:sz w:val="20"/>
          <w:szCs w:val="20"/>
          <w:u w:val="none"/>
        </w:rPr>
        <w:t>Kerr D MBChB DM Duncan I PhD FSA MAAA Repetto E MD Maroun R PharmD PhD Wu MSc Perkins MS Bergman PhD MSc Giorgino F MD PhD “Cost Analysis of Self-Monitoring Blood Glucose in Non</w:t>
      </w:r>
      <w:r w:rsidR="00D01DD1" w:rsidRPr="00296565">
        <w:rPr>
          <w:rStyle w:val="Hyperlink"/>
          <w:rFonts w:cstheme="minorHAnsi"/>
          <w:color w:val="auto"/>
          <w:sz w:val="20"/>
          <w:szCs w:val="20"/>
          <w:u w:val="none"/>
        </w:rPr>
        <w:t>-</w:t>
      </w:r>
      <w:r w:rsidRPr="00296565">
        <w:rPr>
          <w:rStyle w:val="Hyperlink"/>
          <w:rFonts w:cstheme="minorHAnsi"/>
          <w:color w:val="auto"/>
          <w:sz w:val="20"/>
          <w:szCs w:val="20"/>
          <w:u w:val="none"/>
        </w:rPr>
        <w:t xml:space="preserve">intensively Managed Type 2 Diabetes.”  </w:t>
      </w:r>
      <w:r w:rsidR="000E75C3" w:rsidRPr="00296565">
        <w:rPr>
          <w:rStyle w:val="Hyperlink"/>
          <w:rFonts w:cstheme="minorHAnsi"/>
          <w:color w:val="auto"/>
          <w:sz w:val="20"/>
          <w:szCs w:val="20"/>
          <w:u w:val="none"/>
        </w:rPr>
        <w:t xml:space="preserve">AJMC 12/2023 (29) 12.  </w:t>
      </w:r>
      <w:r w:rsidR="00350D8C" w:rsidRPr="00296565">
        <w:rPr>
          <w:rStyle w:val="Hyperlink"/>
          <w:rFonts w:cstheme="minorHAnsi"/>
          <w:color w:val="auto"/>
          <w:sz w:val="20"/>
          <w:szCs w:val="20"/>
          <w:u w:val="none"/>
        </w:rPr>
        <w:t xml:space="preserve">670-5.  </w:t>
      </w:r>
      <w:hyperlink r:id="rId10" w:tgtFrame="_blank" w:history="1">
        <w:r w:rsidR="00296565" w:rsidRPr="00296565">
          <w:rPr>
            <w:rStyle w:val="Hyperlink"/>
            <w:rFonts w:cstheme="minorHAnsi"/>
            <w:i/>
            <w:iCs/>
            <w:color w:val="auto"/>
            <w:sz w:val="20"/>
            <w:szCs w:val="20"/>
            <w:bdr w:val="single" w:sz="2" w:space="0" w:color="E5E7EB" w:frame="1"/>
          </w:rPr>
          <w:t>https://doi.org/10.37765/ajmc.2023.89422</w:t>
        </w:r>
      </w:hyperlink>
    </w:p>
    <w:p w14:paraId="7AD8DC4E" w14:textId="5794EA75" w:rsidR="001B35E4" w:rsidRPr="00663907" w:rsidRDefault="000163BE" w:rsidP="00D1451F">
      <w:pPr>
        <w:pStyle w:val="ListParagraph"/>
        <w:numPr>
          <w:ilvl w:val="0"/>
          <w:numId w:val="1"/>
        </w:numPr>
        <w:shd w:val="clear" w:color="auto" w:fill="FFFFFF"/>
        <w:spacing w:before="120"/>
        <w:outlineLvl w:val="0"/>
        <w:rPr>
          <w:rFonts w:cstheme="minorHAnsi"/>
          <w:sz w:val="20"/>
          <w:szCs w:val="20"/>
        </w:rPr>
      </w:pPr>
      <w:r w:rsidRPr="007764E2">
        <w:rPr>
          <w:rFonts w:cstheme="minorHAnsi"/>
          <w:sz w:val="20"/>
          <w:szCs w:val="20"/>
          <w14:cntxtAlts/>
        </w:rPr>
        <w:t xml:space="preserve">Liao X Duncan I and O’Neill S. “Alternative Predictive Models for Medicare Patient Cost.”  </w:t>
      </w:r>
      <w:r w:rsidR="00121873" w:rsidRPr="007764E2">
        <w:rPr>
          <w:rFonts w:cstheme="minorHAnsi"/>
          <w:i/>
          <w:sz w:val="20"/>
          <w:szCs w:val="20"/>
        </w:rPr>
        <w:t xml:space="preserve">North American Actuarial Journal </w:t>
      </w:r>
      <w:r w:rsidR="00121873" w:rsidRPr="007764E2">
        <w:rPr>
          <w:rFonts w:cstheme="minorHAnsi"/>
          <w:color w:val="555555"/>
          <w:sz w:val="20"/>
          <w:szCs w:val="20"/>
          <w:shd w:val="clear" w:color="auto" w:fill="FFFFFF"/>
        </w:rPr>
        <w:t>DOI:</w:t>
      </w:r>
      <w:r w:rsidR="00121873" w:rsidRPr="007764E2">
        <w:rPr>
          <w:rFonts w:cstheme="minorHAnsi"/>
          <w:sz w:val="20"/>
          <w:szCs w:val="20"/>
        </w:rPr>
        <w:t>10.1080/10920277.2022.2161577</w:t>
      </w:r>
      <w:r w:rsidR="00121873" w:rsidRPr="007764E2">
        <w:rPr>
          <w:rFonts w:cstheme="minorHAnsi"/>
          <w:i/>
          <w:sz w:val="20"/>
          <w:szCs w:val="20"/>
        </w:rPr>
        <w:t xml:space="preserve"> 3/2023</w:t>
      </w:r>
      <w:r w:rsidR="007764E2" w:rsidRPr="007764E2">
        <w:rPr>
          <w:rFonts w:cstheme="minorHAnsi"/>
          <w:i/>
          <w:sz w:val="20"/>
          <w:szCs w:val="20"/>
        </w:rPr>
        <w:t xml:space="preserve">. </w:t>
      </w:r>
    </w:p>
    <w:p w14:paraId="53C780CD" w14:textId="77777777" w:rsidR="00663907" w:rsidRPr="007B724F" w:rsidRDefault="00663907" w:rsidP="00663907">
      <w:pPr>
        <w:pStyle w:val="ListParagraph"/>
        <w:numPr>
          <w:ilvl w:val="0"/>
          <w:numId w:val="1"/>
        </w:numPr>
        <w:rPr>
          <w:bCs/>
          <w:sz w:val="20"/>
          <w:szCs w:val="20"/>
        </w:rPr>
      </w:pPr>
      <w:r w:rsidRPr="007B724F">
        <w:rPr>
          <w:bCs/>
          <w:sz w:val="20"/>
          <w:szCs w:val="20"/>
        </w:rPr>
        <w:t xml:space="preserve">Kang J Duncan I and Huynh N “Making the right diagnosis: a response to Berwick and </w:t>
      </w:r>
      <w:proofErr w:type="gramStart"/>
      <w:r w:rsidRPr="007B724F">
        <w:rPr>
          <w:bCs/>
          <w:sz w:val="20"/>
          <w:szCs w:val="20"/>
        </w:rPr>
        <w:t xml:space="preserve">Gilfillan”  </w:t>
      </w:r>
      <w:r w:rsidRPr="007B724F">
        <w:rPr>
          <w:bCs/>
          <w:i/>
          <w:iCs/>
          <w:sz w:val="20"/>
          <w:szCs w:val="20"/>
        </w:rPr>
        <w:t>Health</w:t>
      </w:r>
      <w:proofErr w:type="gramEnd"/>
      <w:r w:rsidRPr="007B724F">
        <w:rPr>
          <w:bCs/>
          <w:i/>
          <w:iCs/>
          <w:sz w:val="20"/>
          <w:szCs w:val="20"/>
        </w:rPr>
        <w:t xml:space="preserve"> Affairs Forefront.  </w:t>
      </w:r>
      <w:r w:rsidRPr="007B724F">
        <w:rPr>
          <w:bCs/>
          <w:sz w:val="20"/>
          <w:szCs w:val="20"/>
        </w:rPr>
        <w:t xml:space="preserve">July 8, 2022.  </w:t>
      </w:r>
      <w:r w:rsidRPr="007B724F">
        <w:rPr>
          <w:b/>
          <w:sz w:val="20"/>
          <w:szCs w:val="20"/>
        </w:rPr>
        <w:t xml:space="preserve">DOI: </w:t>
      </w:r>
      <w:r w:rsidRPr="007B724F">
        <w:rPr>
          <w:bCs/>
          <w:sz w:val="20"/>
          <w:szCs w:val="20"/>
        </w:rPr>
        <w:t xml:space="preserve">10.1377/forefront.20220706.909897. </w:t>
      </w:r>
    </w:p>
    <w:p w14:paraId="637EFE87" w14:textId="77777777" w:rsidR="003038FB" w:rsidRPr="003038FB" w:rsidRDefault="003038FB" w:rsidP="003038FB">
      <w:pPr>
        <w:pStyle w:val="ListParagraph"/>
        <w:numPr>
          <w:ilvl w:val="0"/>
          <w:numId w:val="1"/>
        </w:numPr>
        <w:rPr>
          <w:rFonts w:cstheme="minorHAnsi"/>
          <w:sz w:val="20"/>
          <w:szCs w:val="20"/>
        </w:rPr>
      </w:pPr>
      <w:r w:rsidRPr="003038FB">
        <w:rPr>
          <w:rFonts w:cstheme="minorHAnsi"/>
          <w:sz w:val="20"/>
          <w:szCs w:val="20"/>
        </w:rPr>
        <w:t>Mackenzie A FSA CERA MAAA, Wang J MS, Teppema S FSA FCA MAAA and Duncan I PhD FSA MAAA.  “Payment Accuracy in Value-based Care Contracts”. A</w:t>
      </w:r>
      <w:r w:rsidRPr="003038FB">
        <w:rPr>
          <w:rFonts w:cstheme="minorHAnsi"/>
          <w:i/>
          <w:sz w:val="20"/>
          <w:szCs w:val="20"/>
        </w:rPr>
        <w:t xml:space="preserve">ustin Med. Sci. </w:t>
      </w:r>
      <w:r w:rsidRPr="003038FB">
        <w:rPr>
          <w:rFonts w:cstheme="minorHAnsi"/>
          <w:iCs/>
          <w:sz w:val="20"/>
          <w:szCs w:val="20"/>
        </w:rPr>
        <w:t xml:space="preserve">6 (1056). </w:t>
      </w:r>
    </w:p>
    <w:p w14:paraId="3C07A2BD" w14:textId="0E9B22AC" w:rsidR="000822F1" w:rsidRPr="000822F1" w:rsidRDefault="003038FB" w:rsidP="000822F1">
      <w:pPr>
        <w:pStyle w:val="ListParagraph"/>
        <w:numPr>
          <w:ilvl w:val="0"/>
          <w:numId w:val="1"/>
        </w:numPr>
        <w:rPr>
          <w:rFonts w:cstheme="minorHAnsi"/>
          <w:sz w:val="20"/>
          <w:szCs w:val="20"/>
        </w:rPr>
      </w:pPr>
      <w:r w:rsidRPr="003038FB">
        <w:rPr>
          <w:rFonts w:cstheme="minorHAnsi"/>
          <w:sz w:val="20"/>
          <w:szCs w:val="20"/>
        </w:rPr>
        <w:t xml:space="preserve">Duncan I PhD FSA MAA Mackenzie AJ FSA CERA MAAA Bonfiglio E MS Wrigley T and Liao X PhD.  “Shared Savings Model Risk in the MSSP Program.”  </w:t>
      </w:r>
      <w:r w:rsidRPr="00CF7633">
        <w:rPr>
          <w:rFonts w:cstheme="minorHAnsi"/>
          <w:i/>
          <w:iCs/>
          <w:sz w:val="20"/>
          <w:szCs w:val="20"/>
        </w:rPr>
        <w:t>North American Actuarial Journal</w:t>
      </w:r>
      <w:r w:rsidRPr="003038FB">
        <w:rPr>
          <w:rFonts w:cstheme="minorHAnsi"/>
          <w:sz w:val="20"/>
          <w:szCs w:val="20"/>
        </w:rPr>
        <w:t xml:space="preserve">, </w:t>
      </w:r>
      <w:r w:rsidR="004D6840">
        <w:rPr>
          <w:rFonts w:cstheme="minorHAnsi"/>
          <w:sz w:val="20"/>
          <w:szCs w:val="20"/>
        </w:rPr>
        <w:t xml:space="preserve">27(2) </w:t>
      </w:r>
      <w:r w:rsidR="000822F1" w:rsidRPr="000822F1">
        <w:rPr>
          <w:rFonts w:cstheme="minorHAnsi"/>
          <w:sz w:val="20"/>
          <w:szCs w:val="20"/>
        </w:rPr>
        <w:t>242-252 </w:t>
      </w:r>
      <w:r w:rsidR="004D6840">
        <w:rPr>
          <w:rFonts w:cstheme="minorHAnsi"/>
          <w:sz w:val="20"/>
          <w:szCs w:val="20"/>
        </w:rPr>
        <w:t xml:space="preserve">2023 </w:t>
      </w:r>
    </w:p>
    <w:p w14:paraId="220E938E" w14:textId="790F5F21" w:rsidR="000822F1" w:rsidRPr="004D6840" w:rsidRDefault="000822F1" w:rsidP="004D6840">
      <w:pPr>
        <w:pStyle w:val="ListParagraph"/>
        <w:ind w:left="360"/>
        <w:rPr>
          <w:rFonts w:cstheme="minorHAnsi"/>
          <w:sz w:val="20"/>
          <w:szCs w:val="20"/>
        </w:rPr>
      </w:pPr>
      <w:hyperlink r:id="rId11" w:history="1">
        <w:r w:rsidRPr="004D6840">
          <w:rPr>
            <w:rStyle w:val="Hyperlink"/>
            <w:rFonts w:cstheme="minorHAnsi"/>
            <w:sz w:val="20"/>
            <w:szCs w:val="20"/>
          </w:rPr>
          <w:t>https://doi.org/10.1080/10920277.2021.1993927</w:t>
        </w:r>
      </w:hyperlink>
    </w:p>
    <w:p w14:paraId="5038BFEC" w14:textId="77777777" w:rsidR="003038FB" w:rsidRPr="004C5933" w:rsidRDefault="003038FB" w:rsidP="00B13A61">
      <w:pPr>
        <w:pStyle w:val="ListParagraph"/>
        <w:numPr>
          <w:ilvl w:val="0"/>
          <w:numId w:val="1"/>
        </w:numPr>
        <w:shd w:val="clear" w:color="auto" w:fill="FFFFFF"/>
        <w:spacing w:after="0"/>
        <w:rPr>
          <w:rFonts w:cstheme="minorHAnsi"/>
          <w:color w:val="000000"/>
        </w:rPr>
      </w:pPr>
      <w:r w:rsidRPr="003038FB">
        <w:rPr>
          <w:rFonts w:cstheme="minorHAnsi"/>
          <w:color w:val="212529"/>
          <w:sz w:val="20"/>
          <w:szCs w:val="20"/>
          <w:shd w:val="clear" w:color="auto" w:fill="FFFFFF"/>
        </w:rPr>
        <w:t>Mackenzie A, Zhao E, Noureddin M, Howell SC, Tunkelrott M, Duncan I. Population-based return on investment of deploying transient elastography</w:t>
      </w:r>
      <w:r w:rsidRPr="00154108">
        <w:rPr>
          <w:rFonts w:ascii="Times New Roman" w:hAnsi="Times New Roman" w:cs="Times New Roman"/>
          <w:color w:val="212529"/>
          <w:sz w:val="24"/>
          <w:szCs w:val="24"/>
          <w:shd w:val="clear" w:color="auto" w:fill="FFFFFF"/>
        </w:rPr>
        <w:t>. </w:t>
      </w:r>
      <w:r w:rsidRPr="004C5933">
        <w:rPr>
          <w:rStyle w:val="Emphasis"/>
          <w:rFonts w:cstheme="minorHAnsi"/>
          <w:color w:val="212529"/>
          <w:sz w:val="20"/>
          <w:szCs w:val="20"/>
          <w:shd w:val="clear" w:color="auto" w:fill="FFFFFF"/>
        </w:rPr>
        <w:t>Am J Manag Care</w:t>
      </w:r>
      <w:r w:rsidRPr="004C5933">
        <w:rPr>
          <w:rFonts w:cstheme="minorHAnsi"/>
          <w:color w:val="212529"/>
          <w:sz w:val="20"/>
          <w:szCs w:val="20"/>
          <w:shd w:val="clear" w:color="auto" w:fill="FFFFFF"/>
        </w:rPr>
        <w:t>. Published online May 28, 2021. doi:10.37765/ajmc.2021.88645</w:t>
      </w:r>
    </w:p>
    <w:p w14:paraId="392D6847" w14:textId="2614406F" w:rsidR="003858EF" w:rsidRPr="003858EF" w:rsidRDefault="003858EF" w:rsidP="00B639AF">
      <w:pPr>
        <w:pStyle w:val="ListParagraph"/>
        <w:numPr>
          <w:ilvl w:val="0"/>
          <w:numId w:val="1"/>
        </w:numPr>
        <w:shd w:val="clear" w:color="auto" w:fill="FFFFFF"/>
        <w:spacing w:after="0"/>
        <w:rPr>
          <w:rFonts w:cstheme="minorHAnsi"/>
          <w:color w:val="000000"/>
          <w:sz w:val="20"/>
          <w:szCs w:val="20"/>
        </w:rPr>
      </w:pPr>
      <w:r w:rsidRPr="003858EF">
        <w:rPr>
          <w:sz w:val="20"/>
          <w:szCs w:val="20"/>
        </w:rPr>
        <w:t xml:space="preserve">Duncan I Fitzner K Zhao E and Shtein Y.  “Patient Post-discharge Transitions and Inpatient Readmissions </w:t>
      </w:r>
      <w:r w:rsidRPr="00162E8E">
        <w:rPr>
          <w:sz w:val="20"/>
          <w:szCs w:val="20"/>
        </w:rPr>
        <w:t>Impose Costly Burdens for Employers and Carrier</w:t>
      </w:r>
      <w:r w:rsidR="00162E8E">
        <w:rPr>
          <w:sz w:val="20"/>
          <w:szCs w:val="20"/>
        </w:rPr>
        <w:t>s</w:t>
      </w:r>
      <w:r w:rsidRPr="00162E8E">
        <w:rPr>
          <w:sz w:val="20"/>
          <w:szCs w:val="20"/>
        </w:rPr>
        <w:t xml:space="preserve">” Forthcoming </w:t>
      </w:r>
      <w:r w:rsidRPr="00162E8E">
        <w:rPr>
          <w:i/>
          <w:sz w:val="20"/>
          <w:szCs w:val="20"/>
        </w:rPr>
        <w:t xml:space="preserve">Population Health Management 2021.  </w:t>
      </w:r>
      <w:r w:rsidR="00162E8E" w:rsidRPr="00162E8E">
        <w:rPr>
          <w:sz w:val="20"/>
          <w:szCs w:val="20"/>
        </w:rPr>
        <w:t>DOI: 10.1089/pop.2021.0037</w:t>
      </w:r>
    </w:p>
    <w:p w14:paraId="512A517B" w14:textId="3C4EE17E" w:rsidR="00DA7838" w:rsidRPr="00750001" w:rsidRDefault="00DA7838" w:rsidP="00B639AF">
      <w:pPr>
        <w:pStyle w:val="ListParagraph"/>
        <w:numPr>
          <w:ilvl w:val="0"/>
          <w:numId w:val="1"/>
        </w:numPr>
        <w:shd w:val="clear" w:color="auto" w:fill="FFFFFF"/>
        <w:spacing w:after="0"/>
        <w:rPr>
          <w:rFonts w:cstheme="minorHAnsi"/>
          <w:color w:val="000000"/>
          <w:sz w:val="20"/>
          <w:szCs w:val="20"/>
        </w:rPr>
      </w:pPr>
      <w:r w:rsidRPr="00DA7838">
        <w:rPr>
          <w:rFonts w:cstheme="minorHAnsi"/>
          <w:color w:val="000000"/>
          <w:sz w:val="20"/>
          <w:szCs w:val="20"/>
        </w:rPr>
        <w:lastRenderedPageBreak/>
        <w:t xml:space="preserve">Duncan I </w:t>
      </w:r>
      <w:r>
        <w:rPr>
          <w:rFonts w:cstheme="minorHAnsi"/>
          <w:color w:val="000000"/>
          <w:sz w:val="20"/>
          <w:szCs w:val="20"/>
        </w:rPr>
        <w:t>Maxwell T Huynh N and Todd M.  “</w:t>
      </w:r>
      <w:r w:rsidRPr="00DA7838">
        <w:rPr>
          <w:sz w:val="20"/>
          <w:szCs w:val="20"/>
        </w:rPr>
        <w:t>Medication Possession, Polypharmacy and De-prescribing of Preventative Drugs in Hospice Patients</w:t>
      </w:r>
      <w:r>
        <w:rPr>
          <w:sz w:val="20"/>
          <w:szCs w:val="20"/>
        </w:rPr>
        <w:t xml:space="preserve">.”  </w:t>
      </w:r>
      <w:r w:rsidRPr="005064C6">
        <w:rPr>
          <w:i/>
          <w:iCs/>
          <w:sz w:val="20"/>
          <w:szCs w:val="20"/>
        </w:rPr>
        <w:t xml:space="preserve">Am. J. Hosp. and Palliative </w:t>
      </w:r>
      <w:r w:rsidR="004E139C">
        <w:rPr>
          <w:i/>
          <w:iCs/>
          <w:sz w:val="20"/>
          <w:szCs w:val="20"/>
        </w:rPr>
        <w:t>Medicine</w:t>
      </w:r>
      <w:r>
        <w:rPr>
          <w:sz w:val="20"/>
          <w:szCs w:val="20"/>
        </w:rPr>
        <w:t xml:space="preserve">. </w:t>
      </w:r>
      <w:r w:rsidR="00CE2AB8">
        <w:rPr>
          <w:sz w:val="20"/>
          <w:szCs w:val="20"/>
        </w:rPr>
        <w:t xml:space="preserve">37(12) </w:t>
      </w:r>
      <w:r w:rsidR="00D548CD">
        <w:rPr>
          <w:sz w:val="20"/>
          <w:szCs w:val="20"/>
        </w:rPr>
        <w:t>1076-85</w:t>
      </w:r>
      <w:r>
        <w:rPr>
          <w:sz w:val="20"/>
          <w:szCs w:val="20"/>
        </w:rPr>
        <w:t xml:space="preserve">.  </w:t>
      </w:r>
      <w:hyperlink r:id="rId12" w:history="1">
        <w:r w:rsidR="00750001" w:rsidRPr="00750001">
          <w:rPr>
            <w:rStyle w:val="Hyperlink"/>
            <w:rFonts w:cstheme="minorHAnsi"/>
            <w:color w:val="006ACC"/>
            <w:sz w:val="20"/>
            <w:szCs w:val="20"/>
            <w:shd w:val="clear" w:color="auto" w:fill="FFFFFF"/>
          </w:rPr>
          <w:t>10.1177/1049909120939091</w:t>
        </w:r>
      </w:hyperlink>
      <w:r w:rsidR="00750001" w:rsidRPr="00750001">
        <w:rPr>
          <w:rFonts w:cstheme="minorHAnsi"/>
          <w:sz w:val="20"/>
          <w:szCs w:val="20"/>
        </w:rPr>
        <w:t xml:space="preserve">.  </w:t>
      </w:r>
    </w:p>
    <w:p w14:paraId="14C5E0E2" w14:textId="1FE28C3A" w:rsidR="00B639AF" w:rsidRPr="00B639AF" w:rsidRDefault="00006BC3" w:rsidP="00B639AF">
      <w:pPr>
        <w:pStyle w:val="ListParagraph"/>
        <w:numPr>
          <w:ilvl w:val="0"/>
          <w:numId w:val="1"/>
        </w:numPr>
        <w:shd w:val="clear" w:color="auto" w:fill="FFFFFF"/>
        <w:spacing w:after="0"/>
        <w:rPr>
          <w:rFonts w:ascii="Arial" w:hAnsi="Arial" w:cs="Arial"/>
          <w:color w:val="000000"/>
          <w:sz w:val="20"/>
          <w:szCs w:val="20"/>
        </w:rPr>
      </w:pPr>
      <w:proofErr w:type="spellStart"/>
      <w:r w:rsidRPr="00B639AF">
        <w:rPr>
          <w:rFonts w:eastAsia="Times New Roman"/>
          <w:sz w:val="20"/>
          <w:szCs w:val="20"/>
        </w:rPr>
        <w:t>Namino</w:t>
      </w:r>
      <w:proofErr w:type="spellEnd"/>
      <w:r w:rsidRPr="00B639AF">
        <w:rPr>
          <w:rFonts w:eastAsia="Times New Roman"/>
          <w:sz w:val="20"/>
          <w:szCs w:val="20"/>
        </w:rPr>
        <w:t xml:space="preserve"> M. Glantz, Ph.D., B.S., Jessikah M. Morales, B.A., Wendy M Bevier, Ph.D., Arianna Larez, B.A., Charis B. Hoppe B.S., Ian Duncan, F.S.A., Andrew Mackenzie, F.S.A., and David Kerr, MBChB, DM, FRCP, FRCPE. “Insurance status and biological and psychosocial determinants of cardio-metabolic risk among Mexican-origin U.S. Hispanic/Latino adults with type 2 diabetes.”  </w:t>
      </w:r>
      <w:r w:rsidRPr="00B639AF">
        <w:rPr>
          <w:rFonts w:eastAsia="Times New Roman"/>
          <w:i/>
          <w:sz w:val="20"/>
          <w:szCs w:val="20"/>
        </w:rPr>
        <w:t xml:space="preserve">Health Equity </w:t>
      </w:r>
      <w:r w:rsidR="00B639AF">
        <w:rPr>
          <w:rStyle w:val="cit"/>
          <w:rFonts w:ascii="Arial" w:hAnsi="Arial" w:cs="Arial"/>
          <w:color w:val="000000"/>
          <w:sz w:val="20"/>
          <w:szCs w:val="20"/>
        </w:rPr>
        <w:t xml:space="preserve">4(1) </w:t>
      </w:r>
      <w:r w:rsidR="00B639AF" w:rsidRPr="00B639AF">
        <w:rPr>
          <w:rFonts w:cstheme="minorHAnsi"/>
          <w:color w:val="000000"/>
          <w:sz w:val="20"/>
          <w:szCs w:val="20"/>
        </w:rPr>
        <w:t xml:space="preserve">May </w:t>
      </w:r>
      <w:r w:rsidR="00B639AF" w:rsidRPr="00B639AF">
        <w:rPr>
          <w:rStyle w:val="fm-vol-iss-date"/>
          <w:rFonts w:cstheme="minorHAnsi"/>
          <w:color w:val="000000"/>
          <w:sz w:val="20"/>
          <w:szCs w:val="20"/>
        </w:rPr>
        <w:t>2020 </w:t>
      </w:r>
      <w:proofErr w:type="spellStart"/>
      <w:r w:rsidR="00B639AF" w:rsidRPr="00B639AF">
        <w:rPr>
          <w:rStyle w:val="doi"/>
          <w:rFonts w:cstheme="minorHAnsi"/>
          <w:color w:val="000000"/>
          <w:sz w:val="20"/>
          <w:szCs w:val="20"/>
        </w:rPr>
        <w:t>doi</w:t>
      </w:r>
      <w:proofErr w:type="spellEnd"/>
      <w:r w:rsidR="00B639AF" w:rsidRPr="00B639AF">
        <w:rPr>
          <w:rStyle w:val="doi"/>
          <w:rFonts w:cstheme="minorHAnsi"/>
          <w:color w:val="000000"/>
          <w:sz w:val="20"/>
          <w:szCs w:val="20"/>
        </w:rPr>
        <w:t>: </w:t>
      </w:r>
      <w:hyperlink r:id="rId13" w:tgtFrame="pmc_ext" w:history="1">
        <w:r w:rsidR="00B639AF" w:rsidRPr="00B639AF">
          <w:rPr>
            <w:rStyle w:val="Hyperlink"/>
            <w:rFonts w:cstheme="minorHAnsi"/>
            <w:color w:val="642A8F"/>
            <w:sz w:val="20"/>
            <w:szCs w:val="20"/>
          </w:rPr>
          <w:t>10.1089/heq.2019.0119</w:t>
        </w:r>
      </w:hyperlink>
      <w:r w:rsidR="00B639AF">
        <w:rPr>
          <w:rStyle w:val="doi"/>
          <w:rFonts w:cstheme="minorHAnsi"/>
          <w:color w:val="000000"/>
          <w:sz w:val="20"/>
          <w:szCs w:val="20"/>
        </w:rPr>
        <w:t xml:space="preserve">.  </w:t>
      </w:r>
    </w:p>
    <w:p w14:paraId="7E9DC564" w14:textId="7D18B6E0" w:rsidR="00C64834" w:rsidRPr="00C64834" w:rsidRDefault="00C64834" w:rsidP="00B639AF">
      <w:pPr>
        <w:pStyle w:val="ListParagraph"/>
        <w:numPr>
          <w:ilvl w:val="0"/>
          <w:numId w:val="1"/>
        </w:numPr>
        <w:spacing w:after="0"/>
        <w:rPr>
          <w:rFonts w:eastAsia="Times New Roman"/>
          <w:sz w:val="20"/>
          <w:szCs w:val="20"/>
        </w:rPr>
      </w:pPr>
      <w:r w:rsidRPr="00C64834">
        <w:rPr>
          <w:rFonts w:eastAsia="Times New Roman"/>
          <w:sz w:val="20"/>
          <w:szCs w:val="20"/>
        </w:rPr>
        <w:t xml:space="preserve">Jessikah Morales; </w:t>
      </w:r>
      <w:proofErr w:type="spellStart"/>
      <w:r w:rsidRPr="00C64834">
        <w:rPr>
          <w:rFonts w:eastAsia="Times New Roman"/>
          <w:sz w:val="20"/>
          <w:szCs w:val="20"/>
        </w:rPr>
        <w:t>Namino</w:t>
      </w:r>
      <w:proofErr w:type="spellEnd"/>
      <w:r w:rsidRPr="00C64834">
        <w:rPr>
          <w:rFonts w:eastAsia="Times New Roman"/>
          <w:sz w:val="20"/>
          <w:szCs w:val="20"/>
        </w:rPr>
        <w:t xml:space="preserve"> Glantz; Arianna Larez; Wendy Bevier; Mary Conneely; Ludi Fan; Beverly Reed; Carlos Alatorre; Rosirene Paczkowski; Tamim Ahmed; Andrew Mackenzie; Ian Duncan; David Kerr “Understanding the impact of five major determinants of health (genetics, biology, behavior, psychology, society/environment) on type 2 diabetes in U.S. Hispanic/Latino families: Mil </w:t>
      </w:r>
      <w:proofErr w:type="spellStart"/>
      <w:r w:rsidRPr="00C64834">
        <w:rPr>
          <w:rFonts w:eastAsia="Times New Roman"/>
          <w:sz w:val="20"/>
          <w:szCs w:val="20"/>
        </w:rPr>
        <w:t>Familias</w:t>
      </w:r>
      <w:proofErr w:type="spellEnd"/>
      <w:r w:rsidRPr="00C64834">
        <w:rPr>
          <w:rFonts w:eastAsia="Times New Roman"/>
          <w:sz w:val="20"/>
          <w:szCs w:val="20"/>
        </w:rPr>
        <w:t xml:space="preserve"> - A cohort study</w:t>
      </w:r>
      <w:r>
        <w:rPr>
          <w:rFonts w:eastAsia="Times New Roman"/>
          <w:sz w:val="20"/>
          <w:szCs w:val="20"/>
        </w:rPr>
        <w:t>.”</w:t>
      </w:r>
      <w:r w:rsidRPr="00C64834">
        <w:rPr>
          <w:rFonts w:eastAsia="Times New Roman"/>
          <w:i/>
          <w:iCs/>
          <w:sz w:val="20"/>
          <w:szCs w:val="20"/>
        </w:rPr>
        <w:t xml:space="preserve"> BMC Endocrine Disorder</w:t>
      </w:r>
      <w:r w:rsidR="00064136">
        <w:rPr>
          <w:rFonts w:eastAsia="Times New Roman"/>
          <w:i/>
          <w:iCs/>
          <w:sz w:val="20"/>
          <w:szCs w:val="20"/>
        </w:rPr>
        <w:t>s</w:t>
      </w:r>
      <w:r w:rsidR="008B5096">
        <w:rPr>
          <w:rFonts w:eastAsia="Times New Roman"/>
          <w:sz w:val="20"/>
          <w:szCs w:val="20"/>
        </w:rPr>
        <w:t xml:space="preserve"> 20(4) 2020. </w:t>
      </w:r>
    </w:p>
    <w:p w14:paraId="524E6473" w14:textId="4A7C99E5" w:rsidR="005801E1" w:rsidRDefault="005801E1" w:rsidP="00064136">
      <w:pPr>
        <w:pStyle w:val="BodyA"/>
        <w:numPr>
          <w:ilvl w:val="0"/>
          <w:numId w:val="1"/>
        </w:numPr>
        <w:spacing w:line="276" w:lineRule="auto"/>
        <w:rPr>
          <w:rFonts w:asciiTheme="minorHAnsi" w:hAnsiTheme="minorHAnsi" w:cstheme="minorHAnsi"/>
          <w:sz w:val="20"/>
          <w:szCs w:val="20"/>
        </w:rPr>
      </w:pPr>
      <w:r>
        <w:rPr>
          <w:rFonts w:asciiTheme="minorHAnsi" w:hAnsiTheme="minorHAnsi" w:cstheme="minorHAnsi"/>
          <w:sz w:val="20"/>
          <w:szCs w:val="20"/>
        </w:rPr>
        <w:t xml:space="preserve">Duncan I, Liao X and Herndon W. “Health benefits associated with an Employer-sponsored Health Promotion Program </w:t>
      </w:r>
      <w:r w:rsidR="00B25A13">
        <w:rPr>
          <w:rFonts w:asciiTheme="minorHAnsi" w:hAnsiTheme="minorHAnsi" w:cstheme="minorHAnsi"/>
          <w:sz w:val="20"/>
          <w:szCs w:val="20"/>
        </w:rPr>
        <w:t xml:space="preserve">with Device-reported Activity” </w:t>
      </w:r>
      <w:r>
        <w:rPr>
          <w:rFonts w:asciiTheme="minorHAnsi" w:hAnsiTheme="minorHAnsi" w:cstheme="minorHAnsi"/>
          <w:i/>
          <w:sz w:val="20"/>
          <w:szCs w:val="20"/>
        </w:rPr>
        <w:t xml:space="preserve">Journal of Wellness, </w:t>
      </w:r>
      <w:r w:rsidR="00B25A13">
        <w:rPr>
          <w:rFonts w:asciiTheme="minorHAnsi" w:hAnsiTheme="minorHAnsi" w:cstheme="minorHAnsi"/>
          <w:sz w:val="20"/>
          <w:szCs w:val="20"/>
        </w:rPr>
        <w:t xml:space="preserve">1(3) </w:t>
      </w:r>
      <w:r>
        <w:rPr>
          <w:rFonts w:asciiTheme="minorHAnsi" w:hAnsiTheme="minorHAnsi" w:cstheme="minorHAnsi"/>
          <w:sz w:val="20"/>
          <w:szCs w:val="20"/>
        </w:rPr>
        <w:t xml:space="preserve">September 2019.   </w:t>
      </w:r>
    </w:p>
    <w:p w14:paraId="24706A25" w14:textId="77777777" w:rsidR="005801E1" w:rsidRDefault="005801E1" w:rsidP="00064136">
      <w:pPr>
        <w:pStyle w:val="BodyA"/>
        <w:numPr>
          <w:ilvl w:val="0"/>
          <w:numId w:val="1"/>
        </w:numPr>
        <w:spacing w:line="276" w:lineRule="auto"/>
        <w:rPr>
          <w:rFonts w:asciiTheme="minorHAnsi" w:hAnsiTheme="minorHAnsi" w:cstheme="minorHAnsi"/>
          <w:sz w:val="20"/>
          <w:szCs w:val="20"/>
        </w:rPr>
      </w:pPr>
      <w:r>
        <w:rPr>
          <w:rFonts w:asciiTheme="minorHAnsi" w:hAnsiTheme="minorHAnsi" w:cstheme="minorHAnsi"/>
          <w:sz w:val="20"/>
          <w:szCs w:val="20"/>
        </w:rPr>
        <w:t xml:space="preserve">Glantz N Kerr D Duncan I et al.  “Racial and Ethnic Disparities in the Burden and Cost of Diabetes for US Medicare Beneficiaries" </w:t>
      </w:r>
      <w:r>
        <w:rPr>
          <w:rFonts w:asciiTheme="minorHAnsi" w:hAnsiTheme="minorHAnsi" w:cstheme="minorHAnsi"/>
          <w:i/>
          <w:sz w:val="20"/>
          <w:szCs w:val="20"/>
        </w:rPr>
        <w:t xml:space="preserve">Health Equity </w:t>
      </w:r>
      <w:r>
        <w:rPr>
          <w:rFonts w:asciiTheme="minorHAnsi" w:hAnsiTheme="minorHAnsi" w:cstheme="minorHAnsi"/>
          <w:sz w:val="20"/>
          <w:szCs w:val="20"/>
        </w:rPr>
        <w:t>3(1) 211-8</w:t>
      </w:r>
      <w:r>
        <w:rPr>
          <w:rFonts w:asciiTheme="minorHAnsi" w:hAnsiTheme="minorHAnsi" w:cstheme="minorHAnsi"/>
          <w:i/>
          <w:sz w:val="20"/>
          <w:szCs w:val="20"/>
        </w:rPr>
        <w:t xml:space="preserve">. </w:t>
      </w:r>
      <w:r>
        <w:rPr>
          <w:rFonts w:asciiTheme="minorHAnsi" w:hAnsiTheme="minorHAnsi" w:cstheme="minorHAnsi"/>
          <w:sz w:val="20"/>
          <w:szCs w:val="20"/>
          <w:shd w:val="clear" w:color="auto" w:fill="FFFFFF"/>
        </w:rPr>
        <w:t>doi.org/10.1089/ heq.2019.0004</w:t>
      </w:r>
    </w:p>
    <w:p w14:paraId="07A4C32B" w14:textId="77777777" w:rsidR="005801E1" w:rsidRDefault="005801E1" w:rsidP="005801E1">
      <w:pPr>
        <w:pStyle w:val="BodyA"/>
        <w:numPr>
          <w:ilvl w:val="0"/>
          <w:numId w:val="1"/>
        </w:numPr>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Liao X Kerr D Duncan I and Morales J.  “</w:t>
      </w:r>
      <w:r>
        <w:rPr>
          <w:rFonts w:asciiTheme="minorHAnsi" w:hAnsiTheme="minorHAnsi" w:cstheme="minorHAnsi"/>
          <w:bCs/>
          <w:color w:val="000000" w:themeColor="text1"/>
          <w:sz w:val="20"/>
          <w:szCs w:val="20"/>
        </w:rPr>
        <w:t xml:space="preserve">Application of Machine Learning to Identify Clustering of Cardio-Metabolic Risk Factors in US Adults.”  </w:t>
      </w:r>
      <w:r>
        <w:rPr>
          <w:rFonts w:asciiTheme="minorHAnsi" w:hAnsiTheme="minorHAnsi" w:cstheme="minorHAnsi"/>
          <w:bCs/>
          <w:i/>
          <w:color w:val="000000" w:themeColor="text1"/>
          <w:sz w:val="20"/>
          <w:szCs w:val="20"/>
        </w:rPr>
        <w:t xml:space="preserve">Diabetes Technology and Therapeutics </w:t>
      </w:r>
      <w:r>
        <w:rPr>
          <w:rFonts w:asciiTheme="minorHAnsi" w:hAnsiTheme="minorHAnsi" w:cstheme="minorHAnsi"/>
          <w:color w:val="292B2C"/>
          <w:sz w:val="20"/>
          <w:szCs w:val="20"/>
          <w:shd w:val="clear" w:color="auto" w:fill="F5F5F5"/>
        </w:rPr>
        <w:t xml:space="preserve">21 (5) </w:t>
      </w:r>
      <w:r>
        <w:rPr>
          <w:rFonts w:asciiTheme="minorHAnsi" w:hAnsiTheme="minorHAnsi" w:cstheme="minorHAnsi"/>
          <w:sz w:val="20"/>
          <w:szCs w:val="20"/>
          <w:shd w:val="clear" w:color="auto" w:fill="F5F5F5"/>
        </w:rPr>
        <w:t>doi.org/10.1089/dia.2018.0390.</w:t>
      </w:r>
    </w:p>
    <w:p w14:paraId="446E8C4F" w14:textId="77777777" w:rsidR="009A028F" w:rsidRPr="009A028F" w:rsidRDefault="005801E1" w:rsidP="009A028F">
      <w:pPr>
        <w:pStyle w:val="ListParagraph"/>
        <w:numPr>
          <w:ilvl w:val="0"/>
          <w:numId w:val="1"/>
        </w:numPr>
        <w:spacing w:after="0"/>
        <w:rPr>
          <w:rFonts w:cstheme="minorHAnsi"/>
          <w:color w:val="000000" w:themeColor="text1"/>
          <w:sz w:val="20"/>
          <w:szCs w:val="20"/>
        </w:rPr>
      </w:pPr>
      <w:r>
        <w:rPr>
          <w:rFonts w:cstheme="minorHAnsi"/>
          <w:color w:val="000000" w:themeColor="text1"/>
          <w:sz w:val="20"/>
          <w:szCs w:val="20"/>
        </w:rPr>
        <w:t xml:space="preserve">Yosick L Crook RE Gatto M Maxwell TL Duncan I Ahmed T and Mackenzie AJ “Effect of a Population Health Community-based Palliative Care Program on Cost and Utilization.”  </w:t>
      </w:r>
      <w:r>
        <w:rPr>
          <w:rFonts w:cstheme="minorHAnsi"/>
          <w:i/>
          <w:color w:val="000000" w:themeColor="text1"/>
          <w:sz w:val="20"/>
          <w:szCs w:val="20"/>
        </w:rPr>
        <w:t>Journal of Palliative Medicine</w:t>
      </w:r>
      <w:r>
        <w:rPr>
          <w:rFonts w:cstheme="minorHAnsi"/>
          <w:color w:val="000000" w:themeColor="text1"/>
          <w:sz w:val="20"/>
          <w:szCs w:val="20"/>
        </w:rPr>
        <w:t xml:space="preserve">. </w:t>
      </w:r>
      <w:r>
        <w:rPr>
          <w:rFonts w:cstheme="minorHAnsi"/>
          <w:color w:val="000000"/>
          <w:sz w:val="20"/>
          <w:szCs w:val="20"/>
          <w:shd w:val="clear" w:color="auto" w:fill="FFFFFF"/>
        </w:rPr>
        <w:t> </w:t>
      </w:r>
      <w:proofErr w:type="spellStart"/>
      <w:r>
        <w:rPr>
          <w:rFonts w:cstheme="minorHAnsi"/>
          <w:color w:val="000000"/>
          <w:sz w:val="20"/>
          <w:szCs w:val="20"/>
          <w:shd w:val="clear" w:color="auto" w:fill="FFFFFF"/>
        </w:rPr>
        <w:t>doi</w:t>
      </w:r>
      <w:proofErr w:type="spellEnd"/>
      <w:r>
        <w:rPr>
          <w:rFonts w:cstheme="minorHAnsi"/>
          <w:color w:val="000000"/>
          <w:sz w:val="20"/>
          <w:szCs w:val="20"/>
          <w:shd w:val="clear" w:color="auto" w:fill="FFFFFF"/>
        </w:rPr>
        <w:t>: 10.1089/jpm.2018.0489.</w:t>
      </w:r>
    </w:p>
    <w:p w14:paraId="6B32ED1A" w14:textId="4D7ABD64" w:rsidR="005801E1" w:rsidRPr="009A028F" w:rsidRDefault="005801E1" w:rsidP="009A028F">
      <w:pPr>
        <w:pStyle w:val="ListParagraph"/>
        <w:numPr>
          <w:ilvl w:val="0"/>
          <w:numId w:val="1"/>
        </w:numPr>
        <w:spacing w:after="0"/>
        <w:rPr>
          <w:rFonts w:cstheme="minorHAnsi"/>
          <w:color w:val="000000" w:themeColor="text1"/>
          <w:sz w:val="20"/>
          <w:szCs w:val="20"/>
        </w:rPr>
      </w:pPr>
      <w:r w:rsidRPr="009A028F">
        <w:rPr>
          <w:rFonts w:cstheme="minorHAnsi"/>
          <w:color w:val="000000" w:themeColor="text1"/>
          <w:sz w:val="20"/>
          <w:szCs w:val="20"/>
        </w:rPr>
        <w:t xml:space="preserve">Duncan I Maxwell T Dove H and Ahmed T.  “Medicare Cost at End of Life.”  </w:t>
      </w:r>
      <w:r w:rsidRPr="009A028F">
        <w:rPr>
          <w:rFonts w:cstheme="minorHAnsi"/>
          <w:i/>
          <w:color w:val="000000" w:themeColor="text1"/>
          <w:sz w:val="20"/>
          <w:szCs w:val="20"/>
        </w:rPr>
        <w:t xml:space="preserve">Am. J Hospice and Palliative </w:t>
      </w:r>
      <w:r w:rsidR="00D10C29" w:rsidRPr="009A028F">
        <w:rPr>
          <w:rFonts w:cstheme="minorHAnsi"/>
          <w:i/>
          <w:color w:val="000000" w:themeColor="text1"/>
          <w:sz w:val="20"/>
          <w:szCs w:val="20"/>
        </w:rPr>
        <w:t>Care</w:t>
      </w:r>
      <w:r w:rsidRPr="009A028F">
        <w:rPr>
          <w:rFonts w:cstheme="minorHAnsi"/>
          <w:i/>
          <w:color w:val="000000" w:themeColor="text1"/>
          <w:sz w:val="20"/>
          <w:szCs w:val="20"/>
        </w:rPr>
        <w:t xml:space="preserve">. </w:t>
      </w:r>
      <w:r w:rsidRPr="009A028F">
        <w:rPr>
          <w:rFonts w:cstheme="minorHAnsi"/>
          <w:color w:val="000000" w:themeColor="text1"/>
          <w:sz w:val="20"/>
          <w:szCs w:val="20"/>
        </w:rPr>
        <w:t xml:space="preserve"> </w:t>
      </w:r>
      <w:r w:rsidR="009A028F" w:rsidRPr="009A028F">
        <w:rPr>
          <w:rFonts w:eastAsia="Times New Roman" w:cstheme="minorHAnsi"/>
          <w:sz w:val="20"/>
          <w:szCs w:val="20"/>
        </w:rPr>
        <w:t xml:space="preserve">2019 Aug;36(8):705-710.   </w:t>
      </w:r>
      <w:proofErr w:type="spellStart"/>
      <w:r w:rsidRPr="009A028F">
        <w:rPr>
          <w:rFonts w:cstheme="minorHAnsi"/>
          <w:color w:val="000000" w:themeColor="text1"/>
          <w:sz w:val="20"/>
          <w:szCs w:val="20"/>
        </w:rPr>
        <w:t>doi</w:t>
      </w:r>
      <w:proofErr w:type="spellEnd"/>
      <w:r w:rsidRPr="009A028F">
        <w:rPr>
          <w:rFonts w:cstheme="minorHAnsi"/>
          <w:color w:val="000000" w:themeColor="text1"/>
          <w:sz w:val="20"/>
          <w:szCs w:val="20"/>
        </w:rPr>
        <w:t xml:space="preserve">: 10.1177/1049909119836204. </w:t>
      </w:r>
    </w:p>
    <w:p w14:paraId="1BBEFE47" w14:textId="77777777" w:rsidR="005801E1" w:rsidRDefault="005801E1" w:rsidP="005801E1">
      <w:pPr>
        <w:pStyle w:val="ListParagraph"/>
        <w:numPr>
          <w:ilvl w:val="0"/>
          <w:numId w:val="1"/>
        </w:numPr>
        <w:shd w:val="clear" w:color="auto" w:fill="FFFFFF"/>
        <w:spacing w:after="0"/>
        <w:rPr>
          <w:rFonts w:eastAsia="Times New Roman" w:cstheme="minorHAnsi"/>
          <w:sz w:val="20"/>
          <w:szCs w:val="20"/>
        </w:rPr>
      </w:pPr>
      <w:r>
        <w:rPr>
          <w:rFonts w:eastAsia="Times New Roman" w:cstheme="minorHAnsi"/>
          <w:sz w:val="20"/>
          <w:szCs w:val="20"/>
          <w:bdr w:val="none" w:sz="0" w:space="0" w:color="auto" w:frame="1"/>
        </w:rPr>
        <w:t>Glantz</w:t>
      </w:r>
      <w:r>
        <w:rPr>
          <w:rFonts w:eastAsia="Times New Roman" w:cstheme="minorHAnsi"/>
          <w:sz w:val="20"/>
          <w:szCs w:val="20"/>
        </w:rPr>
        <w:t xml:space="preserve"> N. Duncan I.  Ahmed T. and Kerr D.  “Racial Disparities in the Burden of End-Stage Renal Disease due to Diabetes among Medicare Beneficiaries.”  May 2018.  </w:t>
      </w:r>
      <w:r>
        <w:rPr>
          <w:rFonts w:eastAsia="Times New Roman" w:cstheme="minorHAnsi"/>
          <w:i/>
          <w:sz w:val="20"/>
          <w:szCs w:val="20"/>
        </w:rPr>
        <w:t>Diabetes</w:t>
      </w:r>
      <w:r>
        <w:rPr>
          <w:rFonts w:eastAsia="Times New Roman" w:cstheme="minorHAnsi"/>
          <w:sz w:val="20"/>
          <w:szCs w:val="20"/>
        </w:rPr>
        <w:t> 67 (Supplement 1):1281-P DOI: 10.2337/db18-1281-P.</w:t>
      </w:r>
    </w:p>
    <w:p w14:paraId="092D98C7" w14:textId="77777777" w:rsidR="005801E1" w:rsidRDefault="005801E1" w:rsidP="005801E1">
      <w:pPr>
        <w:pStyle w:val="ListParagraph"/>
        <w:numPr>
          <w:ilvl w:val="0"/>
          <w:numId w:val="1"/>
        </w:numPr>
        <w:rPr>
          <w:rFonts w:cstheme="minorHAnsi"/>
          <w:sz w:val="20"/>
          <w:szCs w:val="20"/>
        </w:rPr>
      </w:pPr>
      <w:r>
        <w:rPr>
          <w:rFonts w:cs="Helvetica"/>
          <w:bCs/>
          <w:color w:val="000000"/>
          <w:sz w:val="20"/>
          <w:szCs w:val="20"/>
        </w:rPr>
        <w:t xml:space="preserve">Gaba P Pegus C Duncan I Ahmed T Leon M Horne A and Alu M.  “Access to Transcatheter Aortic Valve Replacement (TAVR): A Growing Issue?” </w:t>
      </w:r>
      <w:r>
        <w:rPr>
          <w:rFonts w:cs="Helvetica"/>
          <w:bCs/>
          <w:i/>
          <w:color w:val="000000"/>
          <w:sz w:val="20"/>
          <w:szCs w:val="20"/>
        </w:rPr>
        <w:t xml:space="preserve">Circulation </w:t>
      </w:r>
      <w:r>
        <w:rPr>
          <w:rFonts w:cs="Helvetica"/>
          <w:bCs/>
          <w:color w:val="000000"/>
          <w:sz w:val="20"/>
          <w:szCs w:val="20"/>
        </w:rPr>
        <w:t xml:space="preserve">138 </w:t>
      </w:r>
      <w:r>
        <w:rPr>
          <w:rFonts w:cs="Helvetica"/>
          <w:color w:val="000000"/>
          <w:sz w:val="20"/>
          <w:szCs w:val="20"/>
        </w:rPr>
        <w:t xml:space="preserve">A15030 November 2018.  </w:t>
      </w:r>
    </w:p>
    <w:p w14:paraId="354AB980" w14:textId="77777777" w:rsidR="005801E1" w:rsidRDefault="005801E1" w:rsidP="005801E1">
      <w:pPr>
        <w:pStyle w:val="ListParagraph"/>
        <w:numPr>
          <w:ilvl w:val="0"/>
          <w:numId w:val="1"/>
        </w:numPr>
        <w:spacing w:after="0"/>
        <w:rPr>
          <w:color w:val="000000" w:themeColor="text1"/>
          <w:sz w:val="20"/>
          <w:szCs w:val="20"/>
        </w:rPr>
      </w:pPr>
      <w:r>
        <w:rPr>
          <w:rFonts w:cstheme="minorHAnsi"/>
          <w:sz w:val="20"/>
          <w:szCs w:val="20"/>
        </w:rPr>
        <w:t xml:space="preserve">Cheryl Pegus MD MPH Ian Duncan FSA FIA FCIA FCA CSPA MAAA Judy Greener PhD MA </w:t>
      </w:r>
      <w:r>
        <w:rPr>
          <w:rFonts w:ascii="Calibri" w:eastAsia="Times New Roman" w:hAnsi="Calibri" w:cs="Calibri"/>
          <w:sz w:val="20"/>
          <w:szCs w:val="20"/>
        </w:rPr>
        <w:t>Juan F. Granada MD</w:t>
      </w:r>
      <w:r>
        <w:rPr>
          <w:rFonts w:cstheme="minorHAnsi"/>
          <w:sz w:val="20"/>
          <w:szCs w:val="20"/>
        </w:rPr>
        <w:t xml:space="preserve"> and Tamim Ahmed PhD MBA: Normalizing Cardiac Care.  </w:t>
      </w:r>
      <w:r>
        <w:rPr>
          <w:rFonts w:cstheme="minorHAnsi"/>
          <w:i/>
          <w:sz w:val="20"/>
          <w:szCs w:val="20"/>
        </w:rPr>
        <w:t xml:space="preserve">Health Equity.  </w:t>
      </w:r>
      <w:r>
        <w:rPr>
          <w:color w:val="000000" w:themeColor="text1"/>
          <w:sz w:val="20"/>
          <w:szCs w:val="20"/>
          <w:shd w:val="clear" w:color="auto" w:fill="FFFFFF"/>
        </w:rPr>
        <w:t>2018; 2(1): 404–411.</w:t>
      </w:r>
      <w:r>
        <w:rPr>
          <w:color w:val="000000" w:themeColor="text1"/>
          <w:sz w:val="20"/>
          <w:szCs w:val="20"/>
        </w:rPr>
        <w:t xml:space="preserve"> </w:t>
      </w:r>
      <w:r>
        <w:rPr>
          <w:rFonts w:cstheme="minorHAnsi"/>
          <w:sz w:val="20"/>
          <w:szCs w:val="20"/>
        </w:rPr>
        <w:t xml:space="preserve">  </w:t>
      </w:r>
    </w:p>
    <w:p w14:paraId="0EBB279D" w14:textId="0E318476" w:rsidR="005801E1" w:rsidRDefault="005801E1" w:rsidP="005801E1">
      <w:pPr>
        <w:pStyle w:val="ListParagraph"/>
        <w:numPr>
          <w:ilvl w:val="0"/>
          <w:numId w:val="1"/>
        </w:numPr>
        <w:shd w:val="clear" w:color="auto" w:fill="FFFFFF"/>
        <w:spacing w:after="0"/>
        <w:outlineLvl w:val="0"/>
        <w:rPr>
          <w:rFonts w:cstheme="minorHAnsi"/>
          <w:sz w:val="20"/>
          <w:szCs w:val="20"/>
        </w:rPr>
      </w:pPr>
      <w:r>
        <w:rPr>
          <w:rFonts w:cstheme="minorHAnsi"/>
          <w:sz w:val="20"/>
          <w:szCs w:val="20"/>
        </w:rPr>
        <w:t xml:space="preserve">Duncan I, Huynh N., Molinari R. and Duncan J.  “Using Survival Analysis to Predict Workers’ Compensation Termination.”   </w:t>
      </w:r>
      <w:r>
        <w:rPr>
          <w:rFonts w:cstheme="minorHAnsi"/>
          <w:i/>
          <w:sz w:val="20"/>
          <w:szCs w:val="20"/>
        </w:rPr>
        <w:t>Var</w:t>
      </w:r>
      <w:r w:rsidR="00D84BCB">
        <w:rPr>
          <w:rFonts w:cstheme="minorHAnsi"/>
          <w:i/>
          <w:sz w:val="20"/>
          <w:szCs w:val="20"/>
        </w:rPr>
        <w:t xml:space="preserve">iance </w:t>
      </w:r>
      <w:r w:rsidR="00D84BCB" w:rsidRPr="00D84BCB">
        <w:rPr>
          <w:rFonts w:cstheme="minorHAnsi"/>
          <w:iCs/>
          <w:sz w:val="20"/>
          <w:szCs w:val="20"/>
        </w:rPr>
        <w:t>13(1) 31-</w:t>
      </w:r>
      <w:r w:rsidR="007676A2">
        <w:rPr>
          <w:rFonts w:cstheme="minorHAnsi"/>
          <w:iCs/>
          <w:sz w:val="20"/>
          <w:szCs w:val="20"/>
        </w:rPr>
        <w:t xml:space="preserve">53 July 2020.  </w:t>
      </w:r>
    </w:p>
    <w:p w14:paraId="3CEB69C8" w14:textId="54B54618" w:rsidR="005801E1" w:rsidRDefault="005801E1" w:rsidP="005801E1">
      <w:pPr>
        <w:pStyle w:val="ListParagraph"/>
        <w:numPr>
          <w:ilvl w:val="0"/>
          <w:numId w:val="1"/>
        </w:numPr>
        <w:shd w:val="clear" w:color="auto" w:fill="FFFFFF"/>
        <w:spacing w:after="0"/>
        <w:outlineLvl w:val="0"/>
        <w:rPr>
          <w:rFonts w:cstheme="minorHAnsi"/>
          <w:sz w:val="20"/>
          <w:szCs w:val="20"/>
        </w:rPr>
      </w:pPr>
      <w:r>
        <w:rPr>
          <w:rFonts w:cstheme="minorHAnsi"/>
          <w:sz w:val="20"/>
          <w:szCs w:val="20"/>
        </w:rPr>
        <w:t>Duncan I, Huynh N.  “A Predictive Model for re-admissions among Medicare Patients in a California Hospital.</w:t>
      </w:r>
      <w:r w:rsidR="00161F89">
        <w:rPr>
          <w:rFonts w:cstheme="minorHAnsi"/>
          <w:sz w:val="20"/>
          <w:szCs w:val="20"/>
        </w:rPr>
        <w:t>”</w:t>
      </w:r>
      <w:r>
        <w:rPr>
          <w:rFonts w:cstheme="minorHAnsi"/>
          <w:sz w:val="20"/>
          <w:szCs w:val="20"/>
        </w:rPr>
        <w:t xml:space="preserve"> </w:t>
      </w:r>
      <w:r w:rsidR="00161F89">
        <w:rPr>
          <w:rFonts w:cstheme="minorHAnsi"/>
          <w:sz w:val="20"/>
          <w:szCs w:val="20"/>
        </w:rPr>
        <w:t xml:space="preserve">   </w:t>
      </w:r>
      <w:r>
        <w:rPr>
          <w:rFonts w:cstheme="minorHAnsi"/>
          <w:i/>
          <w:sz w:val="20"/>
          <w:szCs w:val="20"/>
        </w:rPr>
        <w:t xml:space="preserve">Population Health Management, </w:t>
      </w:r>
      <w:r>
        <w:rPr>
          <w:rFonts w:cstheme="minorHAnsi"/>
          <w:sz w:val="20"/>
          <w:szCs w:val="20"/>
        </w:rPr>
        <w:t xml:space="preserve">21(4) 317-322.  October 2017. </w:t>
      </w:r>
    </w:p>
    <w:p w14:paraId="2E45FCE4" w14:textId="77777777" w:rsidR="005801E1" w:rsidRDefault="005801E1" w:rsidP="005801E1">
      <w:pPr>
        <w:pStyle w:val="NormalWeb"/>
        <w:numPr>
          <w:ilvl w:val="0"/>
          <w:numId w:val="1"/>
        </w:numPr>
        <w:shd w:val="clear" w:color="auto" w:fill="FFFFFF"/>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 xml:space="preserve">Fitzner K, Handmaker K.E. and Duncan I.  “Augmented Intelligence: Enhancing the Roles of Health Actuaries and Health Economists for Population Health Management," </w:t>
      </w:r>
      <w:r>
        <w:rPr>
          <w:rFonts w:asciiTheme="minorHAnsi" w:hAnsiTheme="minorHAnsi" w:cstheme="minorHAnsi"/>
          <w:i/>
          <w:sz w:val="20"/>
          <w:szCs w:val="20"/>
        </w:rPr>
        <w:t xml:space="preserve">Population Health Management, </w:t>
      </w:r>
      <w:r>
        <w:rPr>
          <w:rFonts w:asciiTheme="minorHAnsi" w:hAnsiTheme="minorHAnsi" w:cstheme="minorHAnsi"/>
          <w:sz w:val="20"/>
          <w:szCs w:val="20"/>
        </w:rPr>
        <w:t xml:space="preserve">October 2018. 21 (5) 343-5.  </w:t>
      </w:r>
    </w:p>
    <w:p w14:paraId="4E038B7F" w14:textId="77777777" w:rsidR="005801E1" w:rsidRDefault="005801E1" w:rsidP="005801E1">
      <w:pPr>
        <w:pStyle w:val="ListParagraph"/>
        <w:numPr>
          <w:ilvl w:val="0"/>
          <w:numId w:val="1"/>
        </w:numPr>
        <w:spacing w:after="0"/>
        <w:rPr>
          <w:rFonts w:ascii="Calibri" w:hAnsi="Calibri"/>
          <w:sz w:val="20"/>
          <w:szCs w:val="20"/>
        </w:rPr>
      </w:pPr>
      <w:r>
        <w:rPr>
          <w:rFonts w:ascii="Calibri" w:hAnsi="Calibri"/>
          <w:sz w:val="20"/>
          <w:szCs w:val="20"/>
        </w:rPr>
        <w:t xml:space="preserve">Ian Duncan: </w:t>
      </w:r>
      <w:r>
        <w:rPr>
          <w:rFonts w:eastAsia="Times New Roman" w:cs="Times New Roman"/>
          <w:sz w:val="20"/>
          <w:szCs w:val="20"/>
        </w:rPr>
        <w:t xml:space="preserve">Massachusetts Health Insurance Reform: Promise and Results.  </w:t>
      </w:r>
      <w:r>
        <w:rPr>
          <w:rFonts w:eastAsia="MS PGothic" w:cs="MS PGothic"/>
          <w:bCs/>
          <w:color w:val="000000"/>
          <w:sz w:val="20"/>
          <w:szCs w:val="20"/>
        </w:rPr>
        <w:t xml:space="preserve">Impact on Insurance Markets, Pricing, and Profitability.  A study sponsored by the Commonwealth Fund and Society of Actuaries.   Schaumburg, IL.  Society of Actuaries.  2016.  </w:t>
      </w:r>
    </w:p>
    <w:p w14:paraId="7759FC02" w14:textId="77777777" w:rsidR="000C4A87" w:rsidRPr="000C4A87" w:rsidRDefault="005801E1" w:rsidP="000C4A87">
      <w:pPr>
        <w:numPr>
          <w:ilvl w:val="0"/>
          <w:numId w:val="1"/>
        </w:numPr>
        <w:spacing w:after="0"/>
        <w:rPr>
          <w:color w:val="000000" w:themeColor="text1"/>
          <w:sz w:val="20"/>
          <w:szCs w:val="20"/>
        </w:rPr>
      </w:pPr>
      <w:r w:rsidRPr="000C4A87">
        <w:rPr>
          <w:rFonts w:ascii="Calibri" w:hAnsi="Calibri"/>
          <w:sz w:val="20"/>
          <w:szCs w:val="20"/>
        </w:rPr>
        <w:t xml:space="preserve">Ian Duncan and Stephane Guerrier: “Member Plan Choice and Migration in Response to Changes in Member Premiums After Massachusetts Health Reform.”   </w:t>
      </w:r>
      <w:r w:rsidR="000C4A87" w:rsidRPr="000C4A87">
        <w:rPr>
          <w:rStyle w:val="Emphasis"/>
          <w:bCs/>
          <w:color w:val="000000" w:themeColor="text1"/>
          <w:sz w:val="20"/>
          <w:szCs w:val="20"/>
          <w:shd w:val="clear" w:color="auto" w:fill="FFFFFF"/>
        </w:rPr>
        <w:t>North American</w:t>
      </w:r>
      <w:r w:rsidR="000C4A87" w:rsidRPr="000C4A87">
        <w:rPr>
          <w:rStyle w:val="apple-converted-space"/>
          <w:color w:val="000000" w:themeColor="text1"/>
          <w:sz w:val="20"/>
          <w:szCs w:val="20"/>
          <w:shd w:val="clear" w:color="auto" w:fill="FFFFFF"/>
        </w:rPr>
        <w:t> </w:t>
      </w:r>
      <w:r w:rsidR="000C4A87" w:rsidRPr="000C4A87">
        <w:rPr>
          <w:i/>
          <w:color w:val="000000" w:themeColor="text1"/>
          <w:sz w:val="20"/>
          <w:szCs w:val="20"/>
          <w:shd w:val="clear" w:color="auto" w:fill="FFFFFF"/>
        </w:rPr>
        <w:t>Actuarial Journal,</w:t>
      </w:r>
      <w:r w:rsidR="000C4A87" w:rsidRPr="000C4A87">
        <w:rPr>
          <w:color w:val="000000" w:themeColor="text1"/>
          <w:sz w:val="20"/>
          <w:szCs w:val="20"/>
          <w:shd w:val="clear" w:color="auto" w:fill="FFFFFF"/>
        </w:rPr>
        <w:t xml:space="preserve"> 2016 20(4), 404-419.</w:t>
      </w:r>
    </w:p>
    <w:p w14:paraId="4609D7AE" w14:textId="1BC4DCC8" w:rsidR="005801E1" w:rsidRPr="000C4A87" w:rsidRDefault="005801E1" w:rsidP="000C4A87">
      <w:pPr>
        <w:numPr>
          <w:ilvl w:val="0"/>
          <w:numId w:val="1"/>
        </w:numPr>
        <w:spacing w:after="0"/>
        <w:rPr>
          <w:rFonts w:ascii="Calibri" w:hAnsi="Calibri"/>
          <w:sz w:val="20"/>
          <w:szCs w:val="20"/>
        </w:rPr>
      </w:pPr>
      <w:r w:rsidRPr="000C4A87">
        <w:rPr>
          <w:rFonts w:ascii="Calibri" w:hAnsi="Calibri"/>
          <w:sz w:val="20"/>
          <w:szCs w:val="20"/>
        </w:rPr>
        <w:t xml:space="preserve">Adam Long, Ian Duncan and Roger Reed: “Outcomes across the value chain for a comprehensive employee health and wellness intervention: A cohort study by degrees of health engagement.”  </w:t>
      </w:r>
      <w:r w:rsidRPr="000C4A87">
        <w:rPr>
          <w:rFonts w:ascii="Calibri" w:hAnsi="Calibri"/>
          <w:i/>
          <w:sz w:val="20"/>
          <w:szCs w:val="20"/>
        </w:rPr>
        <w:t xml:space="preserve">Journal of Occupational and Environmental Medicine.  </w:t>
      </w:r>
      <w:r w:rsidR="000C4A87" w:rsidRPr="000C4A87">
        <w:rPr>
          <w:color w:val="000000" w:themeColor="text1"/>
          <w:sz w:val="20"/>
          <w:szCs w:val="20"/>
        </w:rPr>
        <w:t>July 2016 Vol. 58 - Issue 7: p 696–706.</w:t>
      </w:r>
    </w:p>
    <w:p w14:paraId="426A1F57" w14:textId="096516EF" w:rsidR="00C16B10" w:rsidRPr="00B25A13" w:rsidRDefault="005801E1" w:rsidP="00C16B10">
      <w:pPr>
        <w:numPr>
          <w:ilvl w:val="0"/>
          <w:numId w:val="1"/>
        </w:numPr>
        <w:spacing w:after="0" w:line="240" w:lineRule="auto"/>
        <w:rPr>
          <w:rFonts w:cstheme="minorHAnsi"/>
          <w:sz w:val="20"/>
          <w:szCs w:val="20"/>
        </w:rPr>
      </w:pPr>
      <w:r w:rsidRPr="00B25A13">
        <w:rPr>
          <w:rFonts w:cstheme="minorHAnsi"/>
          <w:sz w:val="20"/>
          <w:szCs w:val="20"/>
        </w:rPr>
        <w:lastRenderedPageBreak/>
        <w:t xml:space="preserve">Ian Duncan: An elephant but not just in the Emergency Room.”  </w:t>
      </w:r>
      <w:r w:rsidRPr="00B25A13">
        <w:rPr>
          <w:rFonts w:cstheme="minorHAnsi"/>
          <w:i/>
          <w:sz w:val="20"/>
          <w:szCs w:val="20"/>
        </w:rPr>
        <w:t>Population Health Management</w:t>
      </w:r>
      <w:r w:rsidRPr="00B25A13">
        <w:rPr>
          <w:rFonts w:cstheme="minorHAnsi"/>
          <w:sz w:val="20"/>
          <w:szCs w:val="20"/>
        </w:rPr>
        <w:t xml:space="preserve"> </w:t>
      </w:r>
      <w:r w:rsidR="00B25A13" w:rsidRPr="00B25A13">
        <w:rPr>
          <w:rFonts w:cstheme="minorHAnsi"/>
          <w:sz w:val="20"/>
          <w:szCs w:val="20"/>
        </w:rPr>
        <w:t xml:space="preserve">19(2) April 2016 </w:t>
      </w:r>
      <w:hyperlink r:id="rId14" w:history="1">
        <w:r w:rsidR="00B25A13" w:rsidRPr="00B25A13">
          <w:rPr>
            <w:rStyle w:val="Hyperlink"/>
            <w:rFonts w:cstheme="minorHAnsi"/>
            <w:sz w:val="20"/>
            <w:szCs w:val="20"/>
            <w:shd w:val="clear" w:color="auto" w:fill="FFFFFF"/>
          </w:rPr>
          <w:t>https://doi.org/10.1089/pop.2016.0002</w:t>
        </w:r>
      </w:hyperlink>
      <w:r w:rsidRPr="00B25A13">
        <w:rPr>
          <w:rFonts w:cstheme="minorHAnsi"/>
          <w:sz w:val="20"/>
          <w:szCs w:val="20"/>
        </w:rPr>
        <w:t xml:space="preserve"> </w:t>
      </w:r>
    </w:p>
    <w:p w14:paraId="38C7475D" w14:textId="27C16C72" w:rsidR="00C16B10" w:rsidRPr="00C16B10" w:rsidRDefault="005801E1" w:rsidP="00C16B10">
      <w:pPr>
        <w:numPr>
          <w:ilvl w:val="0"/>
          <w:numId w:val="1"/>
        </w:numPr>
        <w:spacing w:after="0" w:line="240" w:lineRule="auto"/>
        <w:rPr>
          <w:rFonts w:cstheme="minorHAnsi"/>
          <w:sz w:val="20"/>
          <w:szCs w:val="20"/>
        </w:rPr>
      </w:pPr>
      <w:hyperlink r:id="rId15" w:history="1">
        <w:r w:rsidRPr="00C16B10">
          <w:rPr>
            <w:rStyle w:val="Hyperlink"/>
            <w:rFonts w:cstheme="minorHAnsi"/>
            <w:sz w:val="20"/>
            <w:szCs w:val="20"/>
          </w:rPr>
          <w:t>Ian Duncan</w:t>
        </w:r>
      </w:hyperlink>
      <w:r w:rsidRPr="00C16B10">
        <w:rPr>
          <w:rStyle w:val="apple-converted-space"/>
          <w:rFonts w:cstheme="minorHAnsi"/>
          <w:sz w:val="20"/>
          <w:szCs w:val="20"/>
        </w:rPr>
        <w:t>, </w:t>
      </w:r>
      <w:hyperlink r:id="rId16" w:history="1">
        <w:r w:rsidRPr="00C16B10">
          <w:rPr>
            <w:rStyle w:val="Hyperlink"/>
            <w:rFonts w:cstheme="minorHAnsi"/>
            <w:sz w:val="20"/>
            <w:szCs w:val="20"/>
          </w:rPr>
          <w:t>Stephane Guerrier and David Kerr</w:t>
        </w:r>
      </w:hyperlink>
      <w:r w:rsidRPr="00C16B10">
        <w:rPr>
          <w:rFonts w:cstheme="minorHAnsi"/>
          <w:sz w:val="20"/>
          <w:szCs w:val="20"/>
        </w:rPr>
        <w:t>:</w:t>
      </w:r>
      <w:r w:rsidRPr="00C16B10">
        <w:rPr>
          <w:rFonts w:cstheme="minorHAnsi"/>
          <w:color w:val="777777"/>
          <w:sz w:val="20"/>
          <w:szCs w:val="20"/>
        </w:rPr>
        <w:t xml:space="preserve">  “</w:t>
      </w:r>
      <w:hyperlink r:id="rId17" w:history="1">
        <w:r w:rsidRPr="00C16B10">
          <w:rPr>
            <w:rStyle w:val="publication-title"/>
            <w:rFonts w:cstheme="minorHAnsi"/>
            <w:sz w:val="20"/>
            <w:szCs w:val="20"/>
          </w:rPr>
          <w:t>Use of a publicly available database to determine the impact of diabetes on length of hospital stay for elective orthopedic procedures in California</w:t>
        </w:r>
      </w:hyperlink>
      <w:r w:rsidRPr="00C16B10">
        <w:rPr>
          <w:rFonts w:cstheme="minorHAnsi"/>
          <w:sz w:val="20"/>
          <w:szCs w:val="20"/>
        </w:rPr>
        <w:t xml:space="preserve">”  </w:t>
      </w:r>
      <w:r w:rsidRPr="00C16B10">
        <w:rPr>
          <w:rFonts w:cstheme="minorHAnsi"/>
          <w:i/>
          <w:sz w:val="20"/>
          <w:szCs w:val="20"/>
        </w:rPr>
        <w:t>Population Health Management</w:t>
      </w:r>
      <w:r w:rsidRPr="00C16B10">
        <w:rPr>
          <w:rFonts w:cstheme="minorHAnsi"/>
          <w:sz w:val="20"/>
          <w:szCs w:val="20"/>
        </w:rPr>
        <w:t xml:space="preserve"> </w:t>
      </w:r>
      <w:r w:rsidR="00C16B10" w:rsidRPr="00C16B10">
        <w:rPr>
          <w:rFonts w:cstheme="minorHAnsi"/>
          <w:sz w:val="20"/>
          <w:szCs w:val="20"/>
        </w:rPr>
        <w:t xml:space="preserve">Dec 2016, 19(6): 439-444.  </w:t>
      </w:r>
    </w:p>
    <w:p w14:paraId="70906EC5" w14:textId="002949D3" w:rsidR="005801E1" w:rsidRPr="00B25A13" w:rsidRDefault="005801E1" w:rsidP="005801E1">
      <w:pPr>
        <w:numPr>
          <w:ilvl w:val="0"/>
          <w:numId w:val="1"/>
        </w:numPr>
        <w:spacing w:after="0" w:line="240" w:lineRule="auto"/>
        <w:rPr>
          <w:rFonts w:cstheme="minorHAnsi"/>
          <w:sz w:val="20"/>
          <w:szCs w:val="20"/>
        </w:rPr>
      </w:pPr>
      <w:r w:rsidRPr="00C16B10">
        <w:rPr>
          <w:rFonts w:cstheme="minorHAnsi"/>
          <w:sz w:val="20"/>
          <w:szCs w:val="20"/>
        </w:rPr>
        <w:t xml:space="preserve">Duncan, I, Clark, K.L. and Wang, S.  “Cost and Utilization of Retail Clinics vs. Other Providers for Treatment of Pediatric Acute Otitis Media” </w:t>
      </w:r>
      <w:r w:rsidR="00B25A13">
        <w:rPr>
          <w:rFonts w:cstheme="minorHAnsi"/>
          <w:i/>
          <w:sz w:val="20"/>
          <w:szCs w:val="20"/>
        </w:rPr>
        <w:t xml:space="preserve">Population Health </w:t>
      </w:r>
      <w:r w:rsidR="00B25A13" w:rsidRPr="00B25A13">
        <w:rPr>
          <w:rFonts w:cstheme="minorHAnsi"/>
          <w:i/>
          <w:sz w:val="20"/>
          <w:szCs w:val="20"/>
        </w:rPr>
        <w:t xml:space="preserve">Management </w:t>
      </w:r>
      <w:r w:rsidR="00B25A13">
        <w:rPr>
          <w:rFonts w:cstheme="minorHAnsi"/>
          <w:sz w:val="20"/>
          <w:szCs w:val="20"/>
        </w:rPr>
        <w:t>19(5)</w:t>
      </w:r>
      <w:r w:rsidR="00B25A13" w:rsidRPr="00B25A13">
        <w:rPr>
          <w:rStyle w:val="epub-sectiondate"/>
          <w:rFonts w:cstheme="minorHAnsi"/>
          <w:color w:val="292B2C"/>
          <w:sz w:val="20"/>
          <w:szCs w:val="20"/>
          <w:shd w:val="clear" w:color="auto" w:fill="FFFFFF"/>
        </w:rPr>
        <w:t xml:space="preserve"> Oct 2016</w:t>
      </w:r>
      <w:r w:rsidR="00B25A13">
        <w:rPr>
          <w:rStyle w:val="epub-sectiondate"/>
          <w:rFonts w:cstheme="minorHAnsi"/>
          <w:color w:val="292B2C"/>
          <w:sz w:val="20"/>
          <w:szCs w:val="20"/>
          <w:shd w:val="clear" w:color="auto" w:fill="FFFFFF"/>
        </w:rPr>
        <w:t xml:space="preserve"> </w:t>
      </w:r>
      <w:hyperlink r:id="rId18" w:history="1">
        <w:r w:rsidR="00B25A13" w:rsidRPr="00625251">
          <w:rPr>
            <w:rStyle w:val="Hyperlink"/>
            <w:rFonts w:cstheme="minorHAnsi"/>
            <w:sz w:val="20"/>
            <w:szCs w:val="20"/>
          </w:rPr>
          <w:t>https://doi.org/10.1089/pop.2015.0051</w:t>
        </w:r>
      </w:hyperlink>
      <w:r w:rsidR="00B25A13">
        <w:rPr>
          <w:rFonts w:cstheme="minorHAnsi"/>
          <w:sz w:val="20"/>
          <w:szCs w:val="20"/>
        </w:rPr>
        <w:t xml:space="preserve">,  </w:t>
      </w:r>
    </w:p>
    <w:p w14:paraId="6FF6654A" w14:textId="77777777" w:rsidR="005801E1" w:rsidRPr="00C16B10" w:rsidRDefault="005801E1" w:rsidP="005801E1">
      <w:pPr>
        <w:pStyle w:val="ListParagraph"/>
        <w:numPr>
          <w:ilvl w:val="0"/>
          <w:numId w:val="1"/>
        </w:numPr>
        <w:suppressAutoHyphens/>
        <w:spacing w:after="0" w:line="100" w:lineRule="atLeast"/>
        <w:contextualSpacing w:val="0"/>
        <w:rPr>
          <w:rFonts w:cstheme="minorHAnsi"/>
          <w:sz w:val="20"/>
          <w:szCs w:val="20"/>
        </w:rPr>
      </w:pPr>
      <w:r w:rsidRPr="00C16B10">
        <w:rPr>
          <w:rFonts w:cstheme="minorHAnsi"/>
          <w:color w:val="000000"/>
          <w:sz w:val="20"/>
          <w:szCs w:val="20"/>
        </w:rPr>
        <w:t>Duncan, I, Loginov, M and Ludkovski, M: “</w:t>
      </w:r>
      <w:r w:rsidRPr="00C16B10">
        <w:rPr>
          <w:rFonts w:cstheme="minorHAnsi"/>
          <w:sz w:val="20"/>
          <w:szCs w:val="20"/>
        </w:rPr>
        <w:t xml:space="preserve">Predictive Modeling of Healthcare Costs using Hierarchical </w:t>
      </w:r>
      <w:proofErr w:type="gramStart"/>
      <w:r w:rsidRPr="00C16B10">
        <w:rPr>
          <w:rFonts w:cstheme="minorHAnsi"/>
          <w:sz w:val="20"/>
          <w:szCs w:val="20"/>
        </w:rPr>
        <w:t xml:space="preserve">Regression”   </w:t>
      </w:r>
      <w:proofErr w:type="gramEnd"/>
      <w:r w:rsidRPr="00C16B10">
        <w:rPr>
          <w:rFonts w:cstheme="minorHAnsi"/>
          <w:i/>
          <w:sz w:val="20"/>
          <w:szCs w:val="20"/>
        </w:rPr>
        <w:t>North American Actuarial Journal</w:t>
      </w:r>
      <w:r w:rsidRPr="00C16B10">
        <w:rPr>
          <w:rFonts w:cstheme="minorHAnsi"/>
          <w:sz w:val="20"/>
          <w:szCs w:val="20"/>
        </w:rPr>
        <w:t xml:space="preserve"> </w:t>
      </w:r>
      <w:r w:rsidRPr="00C16B10">
        <w:rPr>
          <w:rStyle w:val="publication-meta-journal"/>
          <w:rFonts w:cstheme="minorHAnsi"/>
          <w:caps/>
          <w:sz w:val="20"/>
          <w:szCs w:val="20"/>
          <w:shd w:val="clear" w:color="auto" w:fill="FFFFFF"/>
        </w:rPr>
        <w:t>20(1):1-23</w:t>
      </w:r>
      <w:r w:rsidRPr="00C16B10">
        <w:rPr>
          <w:rStyle w:val="publication-meta-date"/>
          <w:rFonts w:cstheme="minorHAnsi"/>
          <w:caps/>
          <w:sz w:val="20"/>
          <w:szCs w:val="20"/>
          <w:shd w:val="clear" w:color="auto" w:fill="FFFFFF"/>
        </w:rPr>
        <w:t> </w:t>
      </w:r>
      <w:r w:rsidRPr="00C16B10">
        <w:rPr>
          <w:rFonts w:cstheme="minorHAnsi"/>
          <w:sz w:val="20"/>
          <w:szCs w:val="20"/>
        </w:rPr>
        <w:t xml:space="preserve"> January 2016. </w:t>
      </w:r>
    </w:p>
    <w:p w14:paraId="5A98AD1C" w14:textId="77777777" w:rsidR="005801E1" w:rsidRPr="009B49C9" w:rsidRDefault="005801E1" w:rsidP="005801E1">
      <w:pPr>
        <w:numPr>
          <w:ilvl w:val="0"/>
          <w:numId w:val="1"/>
        </w:numPr>
        <w:shd w:val="clear" w:color="auto" w:fill="FFFFFF"/>
        <w:spacing w:after="0" w:line="240" w:lineRule="auto"/>
        <w:rPr>
          <w:rFonts w:ascii="Calibri" w:hAnsi="Calibri" w:cs="Helvetica"/>
          <w:color w:val="000000"/>
          <w:sz w:val="20"/>
          <w:szCs w:val="20"/>
        </w:rPr>
      </w:pPr>
      <w:r w:rsidRPr="00C16B10">
        <w:rPr>
          <w:rFonts w:cstheme="minorHAnsi"/>
          <w:bCs/>
          <w:color w:val="000000"/>
          <w:sz w:val="20"/>
          <w:szCs w:val="20"/>
        </w:rPr>
        <w:t>Janeen DuChane, PhD; Bobby Clark, PhD; Francis Staskon, PhD; Rick Miller, RPh, MBA; Kathleen Love, RN; Ian Duncan, FSA, FIA, FCIA, MAAA</w:t>
      </w:r>
      <w:r w:rsidRPr="009B49C9">
        <w:rPr>
          <w:rFonts w:ascii="Calibri" w:hAnsi="Calibri" w:cs="Helvetica"/>
          <w:color w:val="000000"/>
          <w:sz w:val="20"/>
          <w:szCs w:val="20"/>
        </w:rPr>
        <w:t>.    “</w:t>
      </w:r>
      <w:r w:rsidRPr="009B49C9">
        <w:rPr>
          <w:rFonts w:ascii="Calibri" w:hAnsi="Calibri" w:cs="Helvetica"/>
          <w:bCs/>
          <w:color w:val="333333"/>
          <w:kern w:val="36"/>
          <w:sz w:val="20"/>
          <w:szCs w:val="20"/>
        </w:rPr>
        <w:t xml:space="preserve">Impact of Managed Therapy on Adherence to Medications Used to Treat Multiple Sclerosis and Related Comorbid Conditions.”  </w:t>
      </w:r>
      <w:r w:rsidRPr="00CC602B">
        <w:rPr>
          <w:rFonts w:ascii="Calibri" w:hAnsi="Calibri" w:cs="Helvetica"/>
          <w:i/>
          <w:color w:val="000000"/>
          <w:sz w:val="20"/>
          <w:szCs w:val="20"/>
          <w:shd w:val="clear" w:color="auto" w:fill="FFFFFF"/>
        </w:rPr>
        <w:t>International Journal of MS Care</w:t>
      </w:r>
      <w:r w:rsidRPr="009B49C9">
        <w:rPr>
          <w:rFonts w:ascii="Calibri" w:hAnsi="Calibri" w:cs="Helvetica"/>
          <w:color w:val="000000"/>
          <w:sz w:val="20"/>
          <w:szCs w:val="20"/>
          <w:shd w:val="clear" w:color="auto" w:fill="FFFFFF"/>
        </w:rPr>
        <w:t>: March/April 2015, Vol. 17, No. 2, pp. 57-64.</w:t>
      </w:r>
    </w:p>
    <w:p w14:paraId="2E35F44C" w14:textId="77777777" w:rsidR="005801E1" w:rsidRDefault="005801E1" w:rsidP="005801E1">
      <w:pPr>
        <w:numPr>
          <w:ilvl w:val="0"/>
          <w:numId w:val="1"/>
        </w:numPr>
        <w:shd w:val="clear" w:color="auto" w:fill="FFFFFF"/>
        <w:spacing w:after="0" w:line="240" w:lineRule="auto"/>
        <w:rPr>
          <w:rFonts w:ascii="Calibri" w:hAnsi="Calibri"/>
          <w:bCs/>
          <w:color w:val="333333"/>
          <w:sz w:val="20"/>
          <w:szCs w:val="20"/>
        </w:rPr>
      </w:pPr>
      <w:r>
        <w:rPr>
          <w:rFonts w:ascii="Calibri" w:hAnsi="Calibri"/>
          <w:bCs/>
          <w:color w:val="333333"/>
          <w:sz w:val="20"/>
          <w:szCs w:val="20"/>
        </w:rPr>
        <w:t xml:space="preserve">B.L. Clark et al.  “Evaluation of a Retrospective Drug Utilization Review Program for the treatment of Plaque Psoriasis: A Pilot Study.”   </w:t>
      </w:r>
      <w:r w:rsidRPr="00E96A7F">
        <w:rPr>
          <w:rFonts w:ascii="Calibri" w:hAnsi="Calibri"/>
          <w:bCs/>
          <w:i/>
          <w:color w:val="333333"/>
          <w:sz w:val="20"/>
          <w:szCs w:val="20"/>
        </w:rPr>
        <w:t>J. Pharma. Care Health Sys.</w:t>
      </w:r>
      <w:r>
        <w:rPr>
          <w:rFonts w:ascii="Calibri" w:hAnsi="Calibri"/>
          <w:bCs/>
          <w:color w:val="333333"/>
          <w:sz w:val="20"/>
          <w:szCs w:val="20"/>
        </w:rPr>
        <w:t xml:space="preserve">  2015 2: 126.  </w:t>
      </w:r>
    </w:p>
    <w:p w14:paraId="66E9DB61" w14:textId="77777777" w:rsidR="005801E1" w:rsidRDefault="005801E1" w:rsidP="005801E1">
      <w:pPr>
        <w:numPr>
          <w:ilvl w:val="0"/>
          <w:numId w:val="1"/>
        </w:numPr>
        <w:shd w:val="clear" w:color="auto" w:fill="FFFFFF"/>
        <w:spacing w:after="0" w:line="240" w:lineRule="auto"/>
        <w:rPr>
          <w:rFonts w:ascii="Calibri" w:hAnsi="Calibri"/>
          <w:bCs/>
          <w:color w:val="333333"/>
          <w:sz w:val="20"/>
          <w:szCs w:val="20"/>
        </w:rPr>
      </w:pPr>
      <w:r>
        <w:rPr>
          <w:rFonts w:ascii="Calibri" w:hAnsi="Calibri"/>
          <w:bCs/>
          <w:color w:val="333333"/>
          <w:sz w:val="20"/>
          <w:szCs w:val="20"/>
        </w:rPr>
        <w:t xml:space="preserve">Duncan, I and H. E. Frech III: “Measuring Healthcare Efficiency.”   </w:t>
      </w:r>
      <w:r w:rsidRPr="008D3EAF">
        <w:rPr>
          <w:rFonts w:ascii="Calibri" w:hAnsi="Calibri"/>
          <w:bCs/>
          <w:i/>
          <w:color w:val="333333"/>
          <w:sz w:val="20"/>
          <w:szCs w:val="20"/>
        </w:rPr>
        <w:t>North American Actuarial Journal</w:t>
      </w:r>
      <w:r>
        <w:rPr>
          <w:rFonts w:ascii="Calibri" w:hAnsi="Calibri"/>
          <w:bCs/>
          <w:color w:val="333333"/>
          <w:sz w:val="20"/>
          <w:szCs w:val="20"/>
        </w:rPr>
        <w:t xml:space="preserve">      18(4) 443-4.</w:t>
      </w:r>
    </w:p>
    <w:p w14:paraId="3491F4ED" w14:textId="77777777" w:rsidR="005801E1" w:rsidRPr="008C1ED9" w:rsidRDefault="005801E1" w:rsidP="005801E1">
      <w:pPr>
        <w:numPr>
          <w:ilvl w:val="0"/>
          <w:numId w:val="1"/>
        </w:numPr>
        <w:shd w:val="clear" w:color="auto" w:fill="FFFFFF"/>
        <w:spacing w:after="0" w:line="240" w:lineRule="auto"/>
        <w:rPr>
          <w:rFonts w:ascii="Calibri" w:hAnsi="Calibri"/>
          <w:bCs/>
          <w:color w:val="333333"/>
          <w:sz w:val="20"/>
          <w:szCs w:val="20"/>
        </w:rPr>
      </w:pPr>
      <w:r w:rsidRPr="008C1ED9">
        <w:rPr>
          <w:rFonts w:ascii="Calibri" w:hAnsi="Calibri"/>
          <w:color w:val="333333"/>
          <w:sz w:val="20"/>
          <w:szCs w:val="20"/>
        </w:rPr>
        <w:t xml:space="preserve">Janeen DuChane; Bobby Clark; John Hou; Karen Fitzner; Glen </w:t>
      </w:r>
      <w:proofErr w:type="spellStart"/>
      <w:r w:rsidRPr="008C1ED9">
        <w:rPr>
          <w:rFonts w:ascii="Calibri" w:hAnsi="Calibri"/>
          <w:color w:val="333333"/>
          <w:sz w:val="20"/>
          <w:szCs w:val="20"/>
        </w:rPr>
        <w:t>Pietrandoni</w:t>
      </w:r>
      <w:proofErr w:type="spellEnd"/>
      <w:r w:rsidRPr="008C1ED9">
        <w:rPr>
          <w:rFonts w:ascii="Calibri" w:hAnsi="Calibri"/>
          <w:color w:val="333333"/>
          <w:sz w:val="20"/>
          <w:szCs w:val="20"/>
        </w:rPr>
        <w:t xml:space="preserve">; Ian </w:t>
      </w:r>
      <w:proofErr w:type="gramStart"/>
      <w:r w:rsidRPr="008C1ED9">
        <w:rPr>
          <w:rFonts w:ascii="Calibri" w:hAnsi="Calibri"/>
          <w:color w:val="333333"/>
          <w:sz w:val="20"/>
          <w:szCs w:val="20"/>
        </w:rPr>
        <w:t>Duncan</w:t>
      </w:r>
      <w:r w:rsidRPr="008C1ED9">
        <w:rPr>
          <w:rFonts w:ascii="Calibri" w:hAnsi="Calibri"/>
          <w:bCs/>
          <w:color w:val="333333"/>
          <w:sz w:val="20"/>
          <w:szCs w:val="20"/>
        </w:rPr>
        <w:t xml:space="preserve">  </w:t>
      </w:r>
      <w:r w:rsidRPr="00C45828">
        <w:rPr>
          <w:rFonts w:ascii="Calibri" w:hAnsi="Calibri"/>
          <w:bCs/>
          <w:color w:val="333333"/>
          <w:sz w:val="20"/>
          <w:szCs w:val="20"/>
        </w:rPr>
        <w:t>“</w:t>
      </w:r>
      <w:proofErr w:type="gramEnd"/>
      <w:r w:rsidRPr="00C45828">
        <w:rPr>
          <w:rFonts w:ascii="Calibri" w:hAnsi="Calibri"/>
          <w:bCs/>
          <w:color w:val="333333"/>
          <w:sz w:val="20"/>
          <w:szCs w:val="20"/>
        </w:rPr>
        <w:t xml:space="preserve">Impact of HIV-specialized pharmacies on adherence to medications for comorbid conditions” </w:t>
      </w:r>
      <w:r w:rsidRPr="008C1ED9">
        <w:rPr>
          <w:rFonts w:ascii="Calibri" w:hAnsi="Calibri"/>
          <w:i/>
          <w:iCs/>
          <w:color w:val="333333"/>
          <w:sz w:val="20"/>
          <w:szCs w:val="20"/>
        </w:rPr>
        <w:t>J Am Pharm Assoc. (2003)</w:t>
      </w:r>
      <w:r w:rsidRPr="008C1ED9">
        <w:rPr>
          <w:rFonts w:ascii="Calibri" w:hAnsi="Calibri"/>
          <w:color w:val="333333"/>
          <w:sz w:val="20"/>
          <w:szCs w:val="20"/>
        </w:rPr>
        <w:t> 2014;54:493-501. doi:10.1331/JAPhA.2014.13165</w:t>
      </w:r>
    </w:p>
    <w:p w14:paraId="5E6DF606" w14:textId="77777777" w:rsidR="005801E1" w:rsidRPr="008C1ED9" w:rsidRDefault="005801E1" w:rsidP="005801E1">
      <w:pPr>
        <w:numPr>
          <w:ilvl w:val="0"/>
          <w:numId w:val="1"/>
        </w:numPr>
        <w:shd w:val="clear" w:color="auto" w:fill="FFFFFF"/>
        <w:spacing w:after="0" w:line="240" w:lineRule="auto"/>
        <w:rPr>
          <w:rFonts w:ascii="Calibri" w:hAnsi="Calibri"/>
          <w:bCs/>
          <w:color w:val="333333"/>
          <w:sz w:val="20"/>
          <w:szCs w:val="20"/>
        </w:rPr>
      </w:pPr>
      <w:r w:rsidRPr="008C1ED9">
        <w:rPr>
          <w:rFonts w:ascii="Calibri" w:hAnsi="Calibri" w:cs="Arial"/>
          <w:sz w:val="20"/>
          <w:szCs w:val="20"/>
        </w:rPr>
        <w:t xml:space="preserve">Kirkham, H. S., Clark, B. L., Bolas, C., Lewis G.H., Jackson A., Fisher D.  </w:t>
      </w:r>
      <w:r w:rsidRPr="008C1ED9">
        <w:rPr>
          <w:rFonts w:ascii="Calibri" w:hAnsi="Calibri"/>
          <w:noProof/>
          <w:sz w:val="20"/>
          <w:szCs w:val="20"/>
        </w:rPr>
        <w:t xml:space="preserve">“Which modifiable health risks are associated with changes in productivity costs?”  </w:t>
      </w:r>
      <w:r w:rsidRPr="008C1ED9">
        <w:rPr>
          <w:rFonts w:ascii="Calibri" w:hAnsi="Calibri"/>
          <w:i/>
          <w:noProof/>
          <w:sz w:val="20"/>
          <w:szCs w:val="20"/>
        </w:rPr>
        <w:t xml:space="preserve">Population Health </w:t>
      </w:r>
      <w:proofErr w:type="gramStart"/>
      <w:r w:rsidRPr="008C1ED9">
        <w:rPr>
          <w:rFonts w:ascii="Calibri" w:hAnsi="Calibri"/>
          <w:i/>
          <w:noProof/>
          <w:sz w:val="20"/>
          <w:szCs w:val="20"/>
        </w:rPr>
        <w:t>Management</w:t>
      </w:r>
      <w:r>
        <w:rPr>
          <w:rFonts w:ascii="Calibri" w:hAnsi="Calibri"/>
          <w:i/>
          <w:noProof/>
          <w:sz w:val="20"/>
          <w:szCs w:val="20"/>
        </w:rPr>
        <w:t xml:space="preserve">, </w:t>
      </w:r>
      <w:r w:rsidRPr="008C1ED9">
        <w:rPr>
          <w:rFonts w:ascii="Calibri" w:hAnsi="Calibri"/>
          <w:i/>
          <w:noProof/>
          <w:sz w:val="20"/>
          <w:szCs w:val="20"/>
        </w:rPr>
        <w:t xml:space="preserve"> </w:t>
      </w:r>
      <w:r>
        <w:rPr>
          <w:rFonts w:ascii="Arial" w:hAnsi="Arial" w:cs="Arial"/>
          <w:color w:val="000000"/>
          <w:sz w:val="17"/>
          <w:szCs w:val="17"/>
          <w:shd w:val="clear" w:color="auto" w:fill="FFFFFF"/>
        </w:rPr>
        <w:t>2015</w:t>
      </w:r>
      <w:proofErr w:type="gramEnd"/>
      <w:r>
        <w:rPr>
          <w:rFonts w:ascii="Arial" w:hAnsi="Arial" w:cs="Arial"/>
          <w:color w:val="000000"/>
          <w:sz w:val="17"/>
          <w:szCs w:val="17"/>
          <w:shd w:val="clear" w:color="auto" w:fill="FFFFFF"/>
        </w:rPr>
        <w:t xml:space="preserve"> Feb;18(1):30-8. </w:t>
      </w:r>
    </w:p>
    <w:p w14:paraId="3B841A6C" w14:textId="77777777" w:rsidR="005801E1" w:rsidRPr="00AC6659" w:rsidRDefault="005801E1" w:rsidP="005801E1">
      <w:pPr>
        <w:pStyle w:val="ListParagraph"/>
        <w:numPr>
          <w:ilvl w:val="0"/>
          <w:numId w:val="1"/>
        </w:numPr>
        <w:spacing w:after="0" w:line="240" w:lineRule="auto"/>
        <w:contextualSpacing w:val="0"/>
        <w:rPr>
          <w:rFonts w:cs="Arial"/>
          <w:sz w:val="20"/>
          <w:szCs w:val="20"/>
        </w:rPr>
      </w:pPr>
      <w:r w:rsidRPr="00AC6659">
        <w:rPr>
          <w:rFonts w:cs="Arial"/>
          <w:sz w:val="20"/>
          <w:szCs w:val="20"/>
        </w:rPr>
        <w:t xml:space="preserve">Kirkham, H. S., Clark, B. L., Paynter, J., Lewis, G. H., &amp; Duncan, I. (2014). “The effect of a collaborative pharmacist–hospital care transition program on the likelihood of 30-day readmission” </w:t>
      </w:r>
      <w:r w:rsidRPr="00AC6659">
        <w:rPr>
          <w:rFonts w:cs="Arial"/>
          <w:i/>
          <w:iCs/>
          <w:sz w:val="20"/>
          <w:szCs w:val="20"/>
        </w:rPr>
        <w:t>American Journal of Health-System Pharmacy</w:t>
      </w:r>
      <w:r w:rsidRPr="00AC6659">
        <w:rPr>
          <w:rFonts w:cs="Arial"/>
          <w:sz w:val="20"/>
          <w:szCs w:val="20"/>
        </w:rPr>
        <w:t xml:space="preserve">, 71(9), 739-745. </w:t>
      </w:r>
      <w:proofErr w:type="spellStart"/>
      <w:r w:rsidRPr="00AC6659">
        <w:rPr>
          <w:rFonts w:cs="Arial"/>
          <w:sz w:val="20"/>
          <w:szCs w:val="20"/>
        </w:rPr>
        <w:t>doi</w:t>
      </w:r>
      <w:proofErr w:type="spellEnd"/>
      <w:r w:rsidRPr="00AC6659">
        <w:rPr>
          <w:rFonts w:cs="Arial"/>
          <w:sz w:val="20"/>
          <w:szCs w:val="20"/>
        </w:rPr>
        <w:t xml:space="preserve">: </w:t>
      </w:r>
      <w:hyperlink r:id="rId19" w:history="1">
        <w:r w:rsidRPr="00AC6659">
          <w:rPr>
            <w:rStyle w:val="Hyperlink"/>
            <w:rFonts w:cs="Arial"/>
            <w:sz w:val="20"/>
            <w:szCs w:val="20"/>
          </w:rPr>
          <w:t>10.2146/ajhp130457</w:t>
        </w:r>
      </w:hyperlink>
    </w:p>
    <w:p w14:paraId="55F67DB2" w14:textId="77777777" w:rsidR="005801E1" w:rsidRPr="00601EF5" w:rsidRDefault="005801E1" w:rsidP="005801E1">
      <w:pPr>
        <w:pStyle w:val="ListParagraph"/>
        <w:numPr>
          <w:ilvl w:val="0"/>
          <w:numId w:val="1"/>
        </w:numPr>
        <w:rPr>
          <w:sz w:val="20"/>
          <w:szCs w:val="20"/>
        </w:rPr>
      </w:pPr>
      <w:r w:rsidRPr="00601EF5">
        <w:rPr>
          <w:sz w:val="20"/>
          <w:szCs w:val="20"/>
        </w:rPr>
        <w:t xml:space="preserve">Bobby Clark, Karen Fitzner, Julia Zhu, Michael </w:t>
      </w:r>
      <w:proofErr w:type="spellStart"/>
      <w:r w:rsidRPr="00601EF5">
        <w:rPr>
          <w:sz w:val="20"/>
          <w:szCs w:val="20"/>
        </w:rPr>
        <w:t>Einodshofer</w:t>
      </w:r>
      <w:proofErr w:type="spellEnd"/>
      <w:r w:rsidRPr="00601EF5">
        <w:rPr>
          <w:sz w:val="20"/>
          <w:szCs w:val="20"/>
        </w:rPr>
        <w:t xml:space="preserve">, Suann Stone, Janeen DuChane, Ian Duncan “Site of Care Optimization for Infusion Therapy” </w:t>
      </w:r>
      <w:r w:rsidRPr="008F1E43">
        <w:rPr>
          <w:i/>
          <w:sz w:val="20"/>
          <w:szCs w:val="20"/>
        </w:rPr>
        <w:t xml:space="preserve">Am. J. </w:t>
      </w:r>
      <w:proofErr w:type="spellStart"/>
      <w:r w:rsidRPr="008F1E43">
        <w:rPr>
          <w:i/>
          <w:sz w:val="20"/>
          <w:szCs w:val="20"/>
        </w:rPr>
        <w:t>Mgd</w:t>
      </w:r>
      <w:proofErr w:type="spellEnd"/>
      <w:r w:rsidRPr="008F1E43">
        <w:rPr>
          <w:i/>
          <w:sz w:val="20"/>
          <w:szCs w:val="20"/>
        </w:rPr>
        <w:t>. Care</w:t>
      </w:r>
      <w:r w:rsidRPr="00601EF5">
        <w:rPr>
          <w:sz w:val="20"/>
          <w:szCs w:val="20"/>
        </w:rPr>
        <w:t xml:space="preserve">. </w:t>
      </w:r>
    </w:p>
    <w:p w14:paraId="6C40F50C" w14:textId="77777777" w:rsidR="005801E1" w:rsidRDefault="005801E1" w:rsidP="005801E1">
      <w:pPr>
        <w:pStyle w:val="ListParagraph"/>
        <w:numPr>
          <w:ilvl w:val="0"/>
          <w:numId w:val="1"/>
        </w:numPr>
        <w:rPr>
          <w:sz w:val="20"/>
          <w:szCs w:val="20"/>
        </w:rPr>
      </w:pPr>
      <w:r>
        <w:rPr>
          <w:sz w:val="20"/>
          <w:szCs w:val="20"/>
        </w:rPr>
        <w:t xml:space="preserve">Kessler, R, </w:t>
      </w:r>
      <w:proofErr w:type="spellStart"/>
      <w:r>
        <w:rPr>
          <w:sz w:val="20"/>
          <w:szCs w:val="20"/>
        </w:rPr>
        <w:t>Shahly</w:t>
      </w:r>
      <w:proofErr w:type="spellEnd"/>
      <w:r>
        <w:rPr>
          <w:sz w:val="20"/>
          <w:szCs w:val="20"/>
        </w:rPr>
        <w:t xml:space="preserve"> V. and Duncan I.   “Worksite Primary Care Clinics: A Systematic Review” </w:t>
      </w:r>
      <w:r w:rsidRPr="008F1E43">
        <w:rPr>
          <w:i/>
          <w:sz w:val="20"/>
          <w:szCs w:val="20"/>
        </w:rPr>
        <w:t>Population Health Management</w:t>
      </w:r>
      <w:r>
        <w:rPr>
          <w:sz w:val="20"/>
          <w:szCs w:val="20"/>
        </w:rPr>
        <w:t xml:space="preserve">, </w:t>
      </w:r>
      <w:r>
        <w:rPr>
          <w:rFonts w:ascii="Arial" w:hAnsi="Arial" w:cs="Arial"/>
          <w:color w:val="000000"/>
          <w:sz w:val="17"/>
          <w:szCs w:val="17"/>
          <w:shd w:val="clear" w:color="auto" w:fill="FFFFFF"/>
        </w:rPr>
        <w:t xml:space="preserve">2014 Oct;17(5):306-15.  </w:t>
      </w:r>
    </w:p>
    <w:p w14:paraId="1305AFF8" w14:textId="77777777" w:rsidR="005801E1" w:rsidRDefault="005801E1" w:rsidP="005801E1">
      <w:pPr>
        <w:pStyle w:val="ListParagraph"/>
        <w:numPr>
          <w:ilvl w:val="0"/>
          <w:numId w:val="1"/>
        </w:numPr>
        <w:spacing w:after="0" w:line="240" w:lineRule="auto"/>
        <w:rPr>
          <w:sz w:val="20"/>
          <w:szCs w:val="20"/>
        </w:rPr>
      </w:pPr>
      <w:r w:rsidRPr="004C0507">
        <w:rPr>
          <w:sz w:val="20"/>
          <w:szCs w:val="20"/>
        </w:rPr>
        <w:t xml:space="preserve">Clark, </w:t>
      </w:r>
      <w:r>
        <w:rPr>
          <w:sz w:val="20"/>
          <w:szCs w:val="20"/>
        </w:rPr>
        <w:t xml:space="preserve">B, DuChane J, </w:t>
      </w:r>
      <w:r w:rsidRPr="004C0507">
        <w:rPr>
          <w:sz w:val="20"/>
          <w:szCs w:val="20"/>
        </w:rPr>
        <w:t xml:space="preserve">Hou, </w:t>
      </w:r>
      <w:r>
        <w:rPr>
          <w:sz w:val="20"/>
          <w:szCs w:val="20"/>
        </w:rPr>
        <w:t xml:space="preserve">J., </w:t>
      </w:r>
      <w:r w:rsidRPr="004C0507">
        <w:rPr>
          <w:sz w:val="20"/>
          <w:szCs w:val="20"/>
        </w:rPr>
        <w:t>Rubinstein,</w:t>
      </w:r>
      <w:r>
        <w:rPr>
          <w:sz w:val="20"/>
          <w:szCs w:val="20"/>
        </w:rPr>
        <w:t xml:space="preserve"> E, </w:t>
      </w:r>
      <w:r w:rsidRPr="004C0507">
        <w:rPr>
          <w:sz w:val="20"/>
          <w:szCs w:val="20"/>
        </w:rPr>
        <w:t xml:space="preserve">McMurray, </w:t>
      </w:r>
      <w:r>
        <w:rPr>
          <w:sz w:val="20"/>
          <w:szCs w:val="20"/>
        </w:rPr>
        <w:t xml:space="preserve">J and Duncan I.  </w:t>
      </w:r>
      <w:r w:rsidRPr="004C0507">
        <w:rPr>
          <w:sz w:val="20"/>
          <w:szCs w:val="20"/>
        </w:rPr>
        <w:t xml:space="preserve">“Evaluation of Increased Adherence and Cost Savings of an Employer Value Based Benefits Program Targeting Generic Antihyperlipidemic and Antidiabetic </w:t>
      </w:r>
      <w:proofErr w:type="gramStart"/>
      <w:r w:rsidRPr="004C0507">
        <w:rPr>
          <w:sz w:val="20"/>
          <w:szCs w:val="20"/>
        </w:rPr>
        <w:t>Medications</w:t>
      </w:r>
      <w:r>
        <w:rPr>
          <w:sz w:val="20"/>
          <w:szCs w:val="20"/>
        </w:rPr>
        <w:t xml:space="preserve">”   </w:t>
      </w:r>
      <w:proofErr w:type="gramEnd"/>
      <w:r w:rsidRPr="008F1E43">
        <w:rPr>
          <w:i/>
          <w:sz w:val="20"/>
          <w:szCs w:val="20"/>
        </w:rPr>
        <w:t xml:space="preserve">J. </w:t>
      </w:r>
      <w:proofErr w:type="spellStart"/>
      <w:r w:rsidRPr="008F1E43">
        <w:rPr>
          <w:i/>
          <w:sz w:val="20"/>
          <w:szCs w:val="20"/>
        </w:rPr>
        <w:t>Mgd</w:t>
      </w:r>
      <w:proofErr w:type="spellEnd"/>
      <w:r w:rsidRPr="008F1E43">
        <w:rPr>
          <w:i/>
          <w:sz w:val="20"/>
          <w:szCs w:val="20"/>
        </w:rPr>
        <w:t xml:space="preserve">. Care Pharmacy. </w:t>
      </w:r>
    </w:p>
    <w:p w14:paraId="15F0E021" w14:textId="77777777" w:rsidR="005801E1" w:rsidRPr="00F95F18" w:rsidRDefault="005801E1" w:rsidP="005801E1">
      <w:pPr>
        <w:numPr>
          <w:ilvl w:val="0"/>
          <w:numId w:val="1"/>
        </w:numPr>
        <w:autoSpaceDE w:val="0"/>
        <w:autoSpaceDN w:val="0"/>
        <w:adjustRightInd w:val="0"/>
        <w:spacing w:after="0" w:line="240" w:lineRule="auto"/>
        <w:rPr>
          <w:rFonts w:ascii="Calibri" w:hAnsi="Calibri" w:cs="Arial"/>
          <w:sz w:val="20"/>
          <w:szCs w:val="20"/>
        </w:rPr>
      </w:pPr>
      <w:r w:rsidRPr="00745359">
        <w:rPr>
          <w:rFonts w:ascii="Calibri" w:hAnsi="Calibri" w:cs="Arial"/>
          <w:sz w:val="20"/>
          <w:szCs w:val="20"/>
        </w:rPr>
        <w:t>Lewis,</w:t>
      </w:r>
      <w:r>
        <w:rPr>
          <w:rFonts w:ascii="Calibri" w:hAnsi="Calibri" w:cs="Arial"/>
          <w:sz w:val="20"/>
          <w:szCs w:val="20"/>
        </w:rPr>
        <w:t xml:space="preserve"> GL, </w:t>
      </w:r>
      <w:r w:rsidRPr="00745359">
        <w:rPr>
          <w:rFonts w:ascii="Calibri" w:hAnsi="Calibri" w:cs="Arial"/>
          <w:sz w:val="20"/>
          <w:szCs w:val="20"/>
        </w:rPr>
        <w:t>Kirkham,</w:t>
      </w:r>
      <w:r>
        <w:rPr>
          <w:rFonts w:ascii="Calibri" w:hAnsi="Calibri" w:cs="Arial"/>
          <w:sz w:val="20"/>
          <w:szCs w:val="20"/>
        </w:rPr>
        <w:t xml:space="preserve"> HS, </w:t>
      </w:r>
      <w:r w:rsidRPr="00745359">
        <w:rPr>
          <w:rFonts w:ascii="Calibri" w:hAnsi="Calibri" w:cs="Arial"/>
          <w:sz w:val="20"/>
          <w:szCs w:val="20"/>
        </w:rPr>
        <w:t>Duncan</w:t>
      </w:r>
      <w:r>
        <w:rPr>
          <w:rFonts w:ascii="Calibri" w:hAnsi="Calibri" w:cs="Arial"/>
          <w:sz w:val="20"/>
          <w:szCs w:val="20"/>
        </w:rPr>
        <w:t>, I</w:t>
      </w:r>
      <w:r w:rsidRPr="00745359">
        <w:rPr>
          <w:rFonts w:ascii="Calibri" w:hAnsi="Calibri" w:cs="Arial"/>
          <w:sz w:val="20"/>
          <w:szCs w:val="20"/>
        </w:rPr>
        <w:t xml:space="preserve"> and Rhema </w:t>
      </w:r>
      <w:proofErr w:type="spellStart"/>
      <w:r w:rsidRPr="00745359">
        <w:rPr>
          <w:rFonts w:ascii="Calibri" w:hAnsi="Calibri" w:cs="Arial"/>
          <w:sz w:val="20"/>
          <w:szCs w:val="20"/>
        </w:rPr>
        <w:t>Vaithianathan</w:t>
      </w:r>
      <w:proofErr w:type="spellEnd"/>
      <w:r>
        <w:rPr>
          <w:rFonts w:ascii="Calibri" w:hAnsi="Calibri" w:cs="Arial"/>
          <w:sz w:val="20"/>
          <w:szCs w:val="20"/>
        </w:rPr>
        <w:t>: “</w:t>
      </w:r>
      <w:r w:rsidRPr="00745359">
        <w:rPr>
          <w:rFonts w:ascii="Calibri" w:hAnsi="Calibri" w:cs="Arial"/>
          <w:sz w:val="20"/>
          <w:szCs w:val="20"/>
        </w:rPr>
        <w:t>How Health Systems Could Avert 'Triple Fail' Events That Are Harmful, Are Costly,</w:t>
      </w:r>
      <w:r>
        <w:rPr>
          <w:rFonts w:ascii="Calibri" w:hAnsi="Calibri" w:cs="Arial"/>
          <w:sz w:val="20"/>
          <w:szCs w:val="20"/>
        </w:rPr>
        <w:t xml:space="preserve"> </w:t>
      </w:r>
      <w:r w:rsidRPr="00745359">
        <w:rPr>
          <w:rFonts w:ascii="Calibri" w:hAnsi="Calibri" w:cs="Arial"/>
          <w:sz w:val="20"/>
          <w:szCs w:val="20"/>
        </w:rPr>
        <w:t xml:space="preserve">And Result </w:t>
      </w:r>
      <w:proofErr w:type="gramStart"/>
      <w:r w:rsidRPr="00745359">
        <w:rPr>
          <w:rFonts w:ascii="Calibri" w:hAnsi="Calibri" w:cs="Arial"/>
          <w:sz w:val="20"/>
          <w:szCs w:val="20"/>
        </w:rPr>
        <w:t>In</w:t>
      </w:r>
      <w:proofErr w:type="gramEnd"/>
      <w:r w:rsidRPr="00745359">
        <w:rPr>
          <w:rFonts w:ascii="Calibri" w:hAnsi="Calibri" w:cs="Arial"/>
          <w:sz w:val="20"/>
          <w:szCs w:val="20"/>
        </w:rPr>
        <w:t xml:space="preserve"> Poor Patient Satisfaction</w:t>
      </w:r>
      <w:r>
        <w:rPr>
          <w:rFonts w:ascii="Calibri" w:hAnsi="Calibri" w:cs="Arial"/>
          <w:sz w:val="20"/>
          <w:szCs w:val="20"/>
        </w:rPr>
        <w:t xml:space="preserve">.” </w:t>
      </w:r>
      <w:r w:rsidRPr="00F95F18">
        <w:rPr>
          <w:rFonts w:ascii="Calibri" w:hAnsi="Calibri" w:cs="Arial"/>
          <w:i/>
          <w:iCs/>
          <w:sz w:val="20"/>
          <w:szCs w:val="20"/>
        </w:rPr>
        <w:t>Health Affairs</w:t>
      </w:r>
      <w:r w:rsidRPr="00F95F18">
        <w:rPr>
          <w:rFonts w:ascii="Calibri" w:hAnsi="Calibri" w:cs="Arial"/>
          <w:sz w:val="20"/>
          <w:szCs w:val="20"/>
        </w:rPr>
        <w:t>, 32, no.4 (2013):669-676</w:t>
      </w:r>
    </w:p>
    <w:p w14:paraId="54D2FF52" w14:textId="77777777" w:rsidR="005801E1" w:rsidRDefault="005801E1" w:rsidP="005801E1">
      <w:pPr>
        <w:numPr>
          <w:ilvl w:val="0"/>
          <w:numId w:val="1"/>
        </w:numPr>
        <w:spacing w:after="0" w:line="240" w:lineRule="auto"/>
        <w:rPr>
          <w:rFonts w:ascii="Calibri" w:hAnsi="Calibri" w:cs="Calibri"/>
          <w:color w:val="000000"/>
          <w:sz w:val="20"/>
          <w:szCs w:val="20"/>
        </w:rPr>
      </w:pPr>
      <w:r w:rsidRPr="008B4632">
        <w:rPr>
          <w:rFonts w:ascii="Calibri" w:hAnsi="Calibri" w:cs="Calibri"/>
          <w:color w:val="000000"/>
          <w:sz w:val="20"/>
          <w:szCs w:val="20"/>
        </w:rPr>
        <w:t xml:space="preserve">Irizarry L, Li QE, Duncan I, Thurston AL, Fitzner KA, Edwards BJ, McKoy-Bent JM, Tulas KM, </w:t>
      </w:r>
      <w:r w:rsidRPr="008B4632">
        <w:rPr>
          <w:rFonts w:ascii="Calibri" w:hAnsi="Calibri" w:cs="Calibri"/>
          <w:b/>
          <w:bCs/>
          <w:color w:val="000000"/>
          <w:sz w:val="20"/>
          <w:szCs w:val="20"/>
        </w:rPr>
        <w:t>McKoy JM</w:t>
      </w:r>
      <w:r w:rsidRPr="008B4632">
        <w:rPr>
          <w:rFonts w:ascii="Calibri" w:hAnsi="Calibri" w:cs="Calibri"/>
          <w:color w:val="000000"/>
          <w:sz w:val="20"/>
          <w:szCs w:val="20"/>
        </w:rPr>
        <w:t xml:space="preserve">.  </w:t>
      </w:r>
      <w:r>
        <w:rPr>
          <w:rFonts w:ascii="Calibri" w:hAnsi="Calibri" w:cs="Calibri"/>
          <w:color w:val="000000"/>
          <w:sz w:val="20"/>
          <w:szCs w:val="20"/>
        </w:rPr>
        <w:t>“</w:t>
      </w:r>
      <w:r w:rsidRPr="00A76FAD">
        <w:rPr>
          <w:rFonts w:ascii="Calibri" w:hAnsi="Calibri" w:cs="Calibri"/>
          <w:sz w:val="20"/>
          <w:szCs w:val="20"/>
        </w:rPr>
        <w:t>Effects of Cancer Comorbidity on Disease Management: Making the Case for Diabetes Education (</w:t>
      </w:r>
      <w:r>
        <w:rPr>
          <w:rFonts w:ascii="Calibri" w:hAnsi="Calibri" w:cs="Calibri"/>
          <w:sz w:val="20"/>
          <w:szCs w:val="20"/>
        </w:rPr>
        <w:t>A Report from the SOAR Program).”</w:t>
      </w:r>
      <w:r>
        <w:rPr>
          <w:rFonts w:ascii="Calibri" w:hAnsi="Calibri" w:cs="Calibri"/>
          <w:color w:val="000000"/>
          <w:sz w:val="20"/>
          <w:szCs w:val="20"/>
        </w:rPr>
        <w:t> </w:t>
      </w:r>
      <w:r w:rsidRPr="008B4632">
        <w:rPr>
          <w:rFonts w:ascii="Calibri" w:hAnsi="Calibri" w:cs="Calibri"/>
          <w:i/>
          <w:color w:val="000000"/>
          <w:sz w:val="20"/>
          <w:szCs w:val="20"/>
        </w:rPr>
        <w:t xml:space="preserve">Pop. Health Manag. </w:t>
      </w:r>
      <w:r>
        <w:rPr>
          <w:rFonts w:ascii="Arial" w:hAnsi="Arial" w:cs="Arial"/>
          <w:color w:val="000000"/>
          <w:sz w:val="17"/>
          <w:szCs w:val="17"/>
          <w:shd w:val="clear" w:color="auto" w:fill="FFFFFF"/>
        </w:rPr>
        <w:t xml:space="preserve">2013 Feb;16(1):53-7.  </w:t>
      </w:r>
    </w:p>
    <w:p w14:paraId="3D99C282" w14:textId="77777777" w:rsidR="005801E1" w:rsidRPr="00A76FAD" w:rsidRDefault="005801E1" w:rsidP="005801E1">
      <w:pPr>
        <w:numPr>
          <w:ilvl w:val="0"/>
          <w:numId w:val="1"/>
        </w:numPr>
        <w:spacing w:after="0" w:line="240" w:lineRule="auto"/>
        <w:rPr>
          <w:rFonts w:ascii="Calibri" w:hAnsi="Calibri" w:cs="Calibri"/>
          <w:color w:val="000000"/>
          <w:sz w:val="20"/>
          <w:szCs w:val="20"/>
        </w:rPr>
      </w:pPr>
      <w:r w:rsidRPr="00A76FAD">
        <w:rPr>
          <w:rFonts w:cs="Calibri"/>
          <w:sz w:val="20"/>
          <w:szCs w:val="20"/>
        </w:rPr>
        <w:t xml:space="preserve">Taitel MS, Duncan IG, "Medication days’ supply, adherence, wastage, and cost among chronic patients in Medicaid.”   </w:t>
      </w:r>
      <w:r w:rsidRPr="00A76FAD">
        <w:rPr>
          <w:rFonts w:cs="Calibri"/>
          <w:i/>
          <w:iCs/>
          <w:sz w:val="20"/>
          <w:szCs w:val="20"/>
        </w:rPr>
        <w:t>Medicare and Medicaid Research Review</w:t>
      </w:r>
      <w:r w:rsidRPr="00A76FAD">
        <w:rPr>
          <w:rFonts w:cs="Calibri"/>
          <w:sz w:val="20"/>
          <w:szCs w:val="20"/>
        </w:rPr>
        <w:t xml:space="preserve"> 2012 2 (3).    </w:t>
      </w:r>
    </w:p>
    <w:p w14:paraId="4EC7C746" w14:textId="77777777" w:rsidR="005801E1" w:rsidRPr="00F03F50" w:rsidRDefault="005801E1" w:rsidP="005801E1">
      <w:pPr>
        <w:pStyle w:val="PlainText"/>
        <w:numPr>
          <w:ilvl w:val="0"/>
          <w:numId w:val="1"/>
        </w:numPr>
        <w:rPr>
          <w:rFonts w:cs="Calibri"/>
          <w:i/>
          <w:szCs w:val="20"/>
        </w:rPr>
      </w:pPr>
      <w:r>
        <w:rPr>
          <w:rFonts w:cs="Calibri"/>
          <w:szCs w:val="20"/>
        </w:rPr>
        <w:t xml:space="preserve">Duncan IG, Taitel MS, Zhang </w:t>
      </w:r>
      <w:r w:rsidRPr="00F03F50">
        <w:rPr>
          <w:rFonts w:cs="Calibri"/>
          <w:szCs w:val="20"/>
        </w:rPr>
        <w:t xml:space="preserve">J, Kirkham HS: </w:t>
      </w:r>
      <w:r>
        <w:rPr>
          <w:rFonts w:cs="Calibri"/>
          <w:szCs w:val="20"/>
        </w:rPr>
        <w:t>“</w:t>
      </w:r>
      <w:r w:rsidRPr="00F03F50">
        <w:rPr>
          <w:rFonts w:cs="Calibri"/>
          <w:szCs w:val="20"/>
        </w:rPr>
        <w:t>Planning influenza vaccination programs: a cost benefit model.</w:t>
      </w:r>
      <w:r>
        <w:rPr>
          <w:rFonts w:cs="Calibri"/>
          <w:szCs w:val="20"/>
        </w:rPr>
        <w:t>”</w:t>
      </w:r>
      <w:r w:rsidRPr="00F03F50">
        <w:rPr>
          <w:rFonts w:cs="Calibri"/>
          <w:szCs w:val="20"/>
        </w:rPr>
        <w:t xml:space="preserve"> </w:t>
      </w:r>
      <w:r w:rsidRPr="00F03F50">
        <w:rPr>
          <w:rFonts w:cs="Calibri"/>
          <w:i/>
          <w:szCs w:val="20"/>
        </w:rPr>
        <w:t xml:space="preserve">Cost Effectiveness and Resource Allocation </w:t>
      </w:r>
      <w:r w:rsidRPr="00F03F50">
        <w:rPr>
          <w:rFonts w:cs="Calibri"/>
          <w:szCs w:val="20"/>
        </w:rPr>
        <w:t xml:space="preserve">2012 10:10.  </w:t>
      </w:r>
    </w:p>
    <w:p w14:paraId="61349E4C" w14:textId="77777777" w:rsidR="005801E1" w:rsidRDefault="005801E1" w:rsidP="005801E1">
      <w:pPr>
        <w:pStyle w:val="ListParagraph"/>
        <w:numPr>
          <w:ilvl w:val="0"/>
          <w:numId w:val="1"/>
        </w:numPr>
        <w:autoSpaceDE w:val="0"/>
        <w:autoSpaceDN w:val="0"/>
        <w:adjustRightInd w:val="0"/>
        <w:spacing w:before="120" w:after="120"/>
        <w:rPr>
          <w:rFonts w:cs="Calibri"/>
          <w:sz w:val="20"/>
          <w:szCs w:val="20"/>
        </w:rPr>
      </w:pPr>
      <w:r w:rsidRPr="00B33724">
        <w:rPr>
          <w:rFonts w:cs="Calibri"/>
          <w:color w:val="000000"/>
          <w:sz w:val="20"/>
          <w:szCs w:val="20"/>
        </w:rPr>
        <w:t xml:space="preserve">Khandelwal, </w:t>
      </w:r>
      <w:r>
        <w:rPr>
          <w:rFonts w:cs="Calibri"/>
          <w:color w:val="000000"/>
          <w:sz w:val="20"/>
          <w:szCs w:val="20"/>
        </w:rPr>
        <w:t xml:space="preserve">N, Duncan, I, </w:t>
      </w:r>
      <w:r w:rsidRPr="00B33724">
        <w:rPr>
          <w:rFonts w:cs="Calibri"/>
          <w:color w:val="000000"/>
          <w:sz w:val="20"/>
          <w:szCs w:val="20"/>
        </w:rPr>
        <w:t>Rubinstein,</w:t>
      </w:r>
      <w:r>
        <w:rPr>
          <w:rFonts w:cs="Calibri"/>
          <w:color w:val="000000"/>
          <w:sz w:val="20"/>
          <w:szCs w:val="20"/>
        </w:rPr>
        <w:t xml:space="preserve"> E, Ahmed, T and</w:t>
      </w:r>
      <w:r w:rsidRPr="00B33724">
        <w:rPr>
          <w:rFonts w:cs="Calibri"/>
          <w:color w:val="000000"/>
          <w:sz w:val="20"/>
          <w:szCs w:val="20"/>
        </w:rPr>
        <w:t xml:space="preserve"> Pegus, </w:t>
      </w:r>
      <w:r>
        <w:rPr>
          <w:rFonts w:cs="Calibri"/>
          <w:color w:val="000000"/>
          <w:sz w:val="20"/>
          <w:szCs w:val="20"/>
        </w:rPr>
        <w:t xml:space="preserve">C. </w:t>
      </w:r>
      <w:r w:rsidRPr="00B33724">
        <w:rPr>
          <w:rFonts w:cs="Calibri"/>
          <w:sz w:val="20"/>
          <w:szCs w:val="20"/>
        </w:rPr>
        <w:t xml:space="preserve">“Community Pharmacy and Mail Order Cost and Utilization for 90-Day Maintenance Medication Prescriptions”. </w:t>
      </w:r>
      <w:r>
        <w:rPr>
          <w:rFonts w:cs="Calibri"/>
          <w:sz w:val="20"/>
          <w:szCs w:val="20"/>
        </w:rPr>
        <w:t xml:space="preserve"> </w:t>
      </w:r>
      <w:r w:rsidRPr="00D31058">
        <w:rPr>
          <w:rFonts w:cs="Calibri"/>
          <w:i/>
          <w:sz w:val="20"/>
          <w:szCs w:val="20"/>
        </w:rPr>
        <w:t>Journal of Managed Care Pharmacy</w:t>
      </w:r>
      <w:r w:rsidRPr="00B33724">
        <w:rPr>
          <w:rFonts w:cs="Calibri"/>
          <w:sz w:val="20"/>
          <w:szCs w:val="20"/>
        </w:rPr>
        <w:t xml:space="preserve">.  </w:t>
      </w:r>
      <w:proofErr w:type="gramStart"/>
      <w:r w:rsidRPr="00B33724">
        <w:rPr>
          <w:rFonts w:cs="Calibri"/>
          <w:sz w:val="20"/>
          <w:szCs w:val="20"/>
        </w:rPr>
        <w:t>April,</w:t>
      </w:r>
      <w:proofErr w:type="gramEnd"/>
      <w:r w:rsidRPr="00B33724">
        <w:rPr>
          <w:rFonts w:cs="Calibri"/>
          <w:sz w:val="20"/>
          <w:szCs w:val="20"/>
        </w:rPr>
        <w:t xml:space="preserve"> 2012</w:t>
      </w:r>
      <w:r>
        <w:rPr>
          <w:rFonts w:cs="Calibri"/>
          <w:sz w:val="20"/>
          <w:szCs w:val="20"/>
        </w:rPr>
        <w:t>.</w:t>
      </w:r>
    </w:p>
    <w:p w14:paraId="3AA9A998" w14:textId="77777777" w:rsidR="005801E1" w:rsidRPr="00B45901" w:rsidRDefault="005801E1" w:rsidP="005801E1">
      <w:pPr>
        <w:pStyle w:val="ListParagraph"/>
        <w:numPr>
          <w:ilvl w:val="0"/>
          <w:numId w:val="1"/>
        </w:numPr>
        <w:tabs>
          <w:tab w:val="left" w:pos="-720"/>
          <w:tab w:val="left" w:pos="0"/>
        </w:tabs>
        <w:spacing w:before="120" w:after="120"/>
        <w:rPr>
          <w:sz w:val="20"/>
          <w:szCs w:val="20"/>
        </w:rPr>
      </w:pPr>
      <w:r w:rsidRPr="00B45901">
        <w:rPr>
          <w:rFonts w:cs="Calibri"/>
          <w:iCs/>
          <w:color w:val="000000"/>
          <w:sz w:val="20"/>
          <w:szCs w:val="20"/>
        </w:rPr>
        <w:t xml:space="preserve">Hou, J, Murphy, P, Tang, A, Khandelwal, N, Duncan, I and Pegus, C. “Impact of an Online Prescription Management Account on Medication </w:t>
      </w:r>
      <w:proofErr w:type="gramStart"/>
      <w:r w:rsidRPr="00B45901">
        <w:rPr>
          <w:rFonts w:cs="Calibri"/>
          <w:iCs/>
          <w:color w:val="000000"/>
          <w:sz w:val="20"/>
          <w:szCs w:val="20"/>
        </w:rPr>
        <w:t>Adherence”</w:t>
      </w:r>
      <w:r w:rsidRPr="00B45901">
        <w:rPr>
          <w:rFonts w:cs="Calibri"/>
          <w:b/>
          <w:iCs/>
          <w:color w:val="000000"/>
          <w:sz w:val="20"/>
          <w:szCs w:val="20"/>
        </w:rPr>
        <w:t xml:space="preserve"> </w:t>
      </w:r>
      <w:r w:rsidRPr="00B45901">
        <w:rPr>
          <w:rFonts w:cs="Calibri"/>
          <w:iCs/>
          <w:color w:val="000000"/>
          <w:sz w:val="20"/>
          <w:szCs w:val="20"/>
        </w:rPr>
        <w:t xml:space="preserve"> </w:t>
      </w:r>
      <w:r w:rsidRPr="00B45901">
        <w:rPr>
          <w:rFonts w:cs="Calibri"/>
          <w:i/>
          <w:iCs/>
          <w:color w:val="000000"/>
          <w:sz w:val="20"/>
          <w:szCs w:val="20"/>
        </w:rPr>
        <w:t>American</w:t>
      </w:r>
      <w:proofErr w:type="gramEnd"/>
      <w:r w:rsidRPr="00B45901">
        <w:rPr>
          <w:rFonts w:cs="Calibri"/>
          <w:i/>
          <w:iCs/>
          <w:color w:val="000000"/>
          <w:sz w:val="20"/>
          <w:szCs w:val="20"/>
        </w:rPr>
        <w:t xml:space="preserve"> Journal of Managed Care</w:t>
      </w:r>
      <w:r w:rsidRPr="00B45901">
        <w:rPr>
          <w:rFonts w:cs="Calibri"/>
          <w:iCs/>
          <w:color w:val="000000"/>
          <w:sz w:val="20"/>
          <w:szCs w:val="20"/>
        </w:rPr>
        <w:t xml:space="preserve"> </w:t>
      </w:r>
      <w:r w:rsidRPr="00B3446B">
        <w:rPr>
          <w:sz w:val="20"/>
          <w:szCs w:val="20"/>
        </w:rPr>
        <w:t>2012;18(3):e86-e90)</w:t>
      </w:r>
      <w:r>
        <w:rPr>
          <w:sz w:val="20"/>
          <w:szCs w:val="20"/>
        </w:rPr>
        <w:t>.</w:t>
      </w:r>
    </w:p>
    <w:p w14:paraId="270CB434" w14:textId="77777777" w:rsidR="005801E1" w:rsidRPr="00B3446B" w:rsidRDefault="005801E1" w:rsidP="005801E1">
      <w:pPr>
        <w:pStyle w:val="ListParagraph"/>
        <w:numPr>
          <w:ilvl w:val="0"/>
          <w:numId w:val="1"/>
        </w:numPr>
        <w:autoSpaceDE w:val="0"/>
        <w:autoSpaceDN w:val="0"/>
        <w:adjustRightInd w:val="0"/>
        <w:spacing w:before="120" w:after="120"/>
        <w:jc w:val="both"/>
        <w:rPr>
          <w:rFonts w:cs="Calibri"/>
          <w:sz w:val="20"/>
          <w:szCs w:val="20"/>
        </w:rPr>
      </w:pPr>
      <w:r w:rsidRPr="00B3446B">
        <w:rPr>
          <w:rFonts w:cs="Calibri"/>
          <w:sz w:val="20"/>
          <w:szCs w:val="20"/>
        </w:rPr>
        <w:t xml:space="preserve">Taitel M, Cohen, E, Duncan, I, Pegus, C. “Pharmacists as providers: Targeting pneumococcal vaccinations to </w:t>
      </w:r>
      <w:proofErr w:type="gramStart"/>
      <w:r w:rsidRPr="00B3446B">
        <w:rPr>
          <w:rFonts w:cs="Calibri"/>
          <w:sz w:val="20"/>
          <w:szCs w:val="20"/>
        </w:rPr>
        <w:t>high risk</w:t>
      </w:r>
      <w:proofErr w:type="gramEnd"/>
      <w:r w:rsidRPr="00B3446B">
        <w:rPr>
          <w:rFonts w:cs="Calibri"/>
          <w:sz w:val="20"/>
          <w:szCs w:val="20"/>
        </w:rPr>
        <w:t xml:space="preserve"> populations.” </w:t>
      </w:r>
      <w:r w:rsidRPr="00C77F93">
        <w:rPr>
          <w:rFonts w:eastAsia="Times New Roman" w:cs="Calibri"/>
          <w:i/>
          <w:sz w:val="20"/>
          <w:szCs w:val="20"/>
        </w:rPr>
        <w:t>Vaccine</w:t>
      </w:r>
      <w:r w:rsidRPr="00C77F93">
        <w:rPr>
          <w:rFonts w:eastAsia="Times New Roman" w:cs="Calibri"/>
          <w:sz w:val="20"/>
          <w:szCs w:val="20"/>
        </w:rPr>
        <w:t>.</w:t>
      </w:r>
      <w:r w:rsidRPr="00B3446B">
        <w:rPr>
          <w:rFonts w:eastAsia="Times New Roman" w:cs="Calibri"/>
          <w:sz w:val="20"/>
          <w:szCs w:val="20"/>
        </w:rPr>
        <w:t xml:space="preserve"> 2011 Oct 19;29(45):8073-6. </w:t>
      </w:r>
    </w:p>
    <w:p w14:paraId="2D69F579" w14:textId="77777777" w:rsidR="005801E1" w:rsidRDefault="005801E1" w:rsidP="005801E1">
      <w:pPr>
        <w:pStyle w:val="ListParagraph"/>
        <w:numPr>
          <w:ilvl w:val="0"/>
          <w:numId w:val="1"/>
        </w:numPr>
        <w:autoSpaceDE w:val="0"/>
        <w:autoSpaceDN w:val="0"/>
        <w:adjustRightInd w:val="0"/>
        <w:spacing w:before="120" w:after="120"/>
        <w:rPr>
          <w:rFonts w:cs="Calibri"/>
          <w:sz w:val="20"/>
          <w:szCs w:val="20"/>
        </w:rPr>
      </w:pPr>
      <w:r w:rsidRPr="00B33724">
        <w:rPr>
          <w:rFonts w:cs="Calibri"/>
          <w:color w:val="000000"/>
          <w:sz w:val="20"/>
          <w:szCs w:val="20"/>
        </w:rPr>
        <w:lastRenderedPageBreak/>
        <w:t xml:space="preserve">Khandelwal, </w:t>
      </w:r>
      <w:r>
        <w:rPr>
          <w:rFonts w:cs="Calibri"/>
          <w:color w:val="000000"/>
          <w:sz w:val="20"/>
          <w:szCs w:val="20"/>
        </w:rPr>
        <w:t xml:space="preserve">N, Duncan, I, </w:t>
      </w:r>
      <w:r w:rsidRPr="00B33724">
        <w:rPr>
          <w:rFonts w:cs="Calibri"/>
          <w:color w:val="000000"/>
          <w:sz w:val="20"/>
          <w:szCs w:val="20"/>
        </w:rPr>
        <w:t>Rubinstein,</w:t>
      </w:r>
      <w:r>
        <w:rPr>
          <w:rFonts w:cs="Calibri"/>
          <w:color w:val="000000"/>
          <w:sz w:val="20"/>
          <w:szCs w:val="20"/>
        </w:rPr>
        <w:t xml:space="preserve"> E, Ahmed, T and</w:t>
      </w:r>
      <w:r w:rsidRPr="00B33724">
        <w:rPr>
          <w:rFonts w:cs="Calibri"/>
          <w:color w:val="000000"/>
          <w:sz w:val="20"/>
          <w:szCs w:val="20"/>
        </w:rPr>
        <w:t xml:space="preserve"> Pegus, </w:t>
      </w:r>
      <w:r>
        <w:rPr>
          <w:rFonts w:cs="Calibri"/>
          <w:color w:val="000000"/>
          <w:sz w:val="20"/>
          <w:szCs w:val="20"/>
        </w:rPr>
        <w:t xml:space="preserve">C. </w:t>
      </w:r>
      <w:r w:rsidRPr="00B33724">
        <w:rPr>
          <w:rFonts w:cs="Calibri"/>
          <w:sz w:val="20"/>
          <w:szCs w:val="20"/>
        </w:rPr>
        <w:t xml:space="preserve">“Community Pharmacy and Mail Order Cost and Utilization for 90-Day Maintenance Medication Prescriptions”. </w:t>
      </w:r>
      <w:r>
        <w:rPr>
          <w:rFonts w:cs="Calibri"/>
          <w:sz w:val="20"/>
          <w:szCs w:val="20"/>
        </w:rPr>
        <w:t xml:space="preserve"> </w:t>
      </w:r>
      <w:r w:rsidRPr="00D31058">
        <w:rPr>
          <w:rFonts w:cs="Calibri"/>
          <w:i/>
          <w:sz w:val="20"/>
          <w:szCs w:val="20"/>
        </w:rPr>
        <w:t xml:space="preserve">Journal of Managed Care Pharmacy. </w:t>
      </w:r>
      <w:r>
        <w:rPr>
          <w:rFonts w:cs="Calibri"/>
          <w:i/>
          <w:sz w:val="20"/>
          <w:szCs w:val="20"/>
        </w:rPr>
        <w:t xml:space="preserve"> </w:t>
      </w:r>
      <w:r w:rsidRPr="009A064C">
        <w:rPr>
          <w:rFonts w:cs="Calibri"/>
          <w:sz w:val="20"/>
          <w:szCs w:val="20"/>
        </w:rPr>
        <w:t>2012 Apr;18 (3):247-55.</w:t>
      </w:r>
    </w:p>
    <w:p w14:paraId="54FB00D7" w14:textId="77777777" w:rsidR="005801E1" w:rsidRPr="00C700FC" w:rsidRDefault="005801E1" w:rsidP="005801E1">
      <w:pPr>
        <w:pStyle w:val="ListParagraph"/>
        <w:numPr>
          <w:ilvl w:val="0"/>
          <w:numId w:val="1"/>
        </w:numPr>
        <w:autoSpaceDE w:val="0"/>
        <w:autoSpaceDN w:val="0"/>
        <w:adjustRightInd w:val="0"/>
        <w:spacing w:after="0"/>
        <w:rPr>
          <w:rFonts w:cs="Calibri"/>
          <w:color w:val="000000"/>
          <w:sz w:val="20"/>
          <w:szCs w:val="20"/>
        </w:rPr>
      </w:pPr>
      <w:r w:rsidRPr="00C700FC">
        <w:rPr>
          <w:rFonts w:cs="Calibri"/>
          <w:color w:val="000000"/>
          <w:sz w:val="20"/>
          <w:szCs w:val="20"/>
        </w:rPr>
        <w:t xml:space="preserve">Taitel M, Terranova B, Baloun L, </w:t>
      </w:r>
      <w:r>
        <w:rPr>
          <w:rFonts w:cs="Calibri"/>
          <w:color w:val="000000"/>
          <w:sz w:val="20"/>
          <w:szCs w:val="20"/>
        </w:rPr>
        <w:t>Kirkham H, Duncan I</w:t>
      </w:r>
      <w:r w:rsidRPr="00C700FC">
        <w:rPr>
          <w:rFonts w:cs="Calibri"/>
          <w:color w:val="000000"/>
          <w:sz w:val="20"/>
          <w:szCs w:val="20"/>
        </w:rPr>
        <w:t xml:space="preserve">, Pegus C. </w:t>
      </w:r>
      <w:r>
        <w:rPr>
          <w:rFonts w:cs="Calibri"/>
          <w:color w:val="000000"/>
          <w:sz w:val="20"/>
          <w:szCs w:val="20"/>
        </w:rPr>
        <w:t>“</w:t>
      </w:r>
      <w:r w:rsidRPr="00C700FC">
        <w:rPr>
          <w:rFonts w:cs="Calibri"/>
          <w:color w:val="000000"/>
          <w:sz w:val="20"/>
          <w:szCs w:val="20"/>
        </w:rPr>
        <w:t>Pharmacists as Immunization Providers: Patient Attitudes and Perceptions.</w:t>
      </w:r>
      <w:r>
        <w:rPr>
          <w:rFonts w:cs="Calibri"/>
          <w:color w:val="000000"/>
          <w:sz w:val="20"/>
          <w:szCs w:val="20"/>
        </w:rPr>
        <w:t>”</w:t>
      </w:r>
      <w:r w:rsidRPr="00C700FC">
        <w:rPr>
          <w:rFonts w:cs="Calibri"/>
          <w:color w:val="000000"/>
          <w:sz w:val="20"/>
          <w:szCs w:val="20"/>
        </w:rPr>
        <w:t xml:space="preserve"> </w:t>
      </w:r>
      <w:r w:rsidRPr="00C700FC">
        <w:rPr>
          <w:rFonts w:cs="Calibri"/>
          <w:i/>
          <w:iCs/>
          <w:color w:val="000000"/>
          <w:sz w:val="20"/>
          <w:szCs w:val="20"/>
        </w:rPr>
        <w:t xml:space="preserve">Pharmacy Times. </w:t>
      </w:r>
      <w:r w:rsidRPr="00C700FC">
        <w:rPr>
          <w:rFonts w:cs="Calibri"/>
          <w:color w:val="000000"/>
          <w:sz w:val="20"/>
          <w:szCs w:val="20"/>
        </w:rPr>
        <w:t>2011.  http://www.pharmacytimes.com/publications/issue/2011/September2011/Pharmacists-as-Immunization-Providers-Patient-Attitudes-and-Perceptions</w:t>
      </w:r>
      <w:r>
        <w:rPr>
          <w:rFonts w:cs="Calibri"/>
          <w:color w:val="000000"/>
          <w:sz w:val="20"/>
          <w:szCs w:val="20"/>
        </w:rPr>
        <w:t>.</w:t>
      </w:r>
    </w:p>
    <w:p w14:paraId="3C5C28CC" w14:textId="77777777" w:rsidR="005801E1" w:rsidRDefault="005801E1" w:rsidP="005801E1">
      <w:pPr>
        <w:pStyle w:val="ListParagraph"/>
        <w:numPr>
          <w:ilvl w:val="0"/>
          <w:numId w:val="1"/>
        </w:numPr>
        <w:autoSpaceDE w:val="0"/>
        <w:autoSpaceDN w:val="0"/>
        <w:adjustRightInd w:val="0"/>
        <w:spacing w:after="0" w:line="240" w:lineRule="auto"/>
        <w:rPr>
          <w:rFonts w:cs="Calibri"/>
          <w:color w:val="000000"/>
          <w:sz w:val="20"/>
          <w:szCs w:val="20"/>
        </w:rPr>
      </w:pPr>
      <w:r w:rsidRPr="00C700FC">
        <w:rPr>
          <w:rFonts w:cs="Calibri"/>
          <w:color w:val="000000"/>
          <w:sz w:val="20"/>
          <w:szCs w:val="20"/>
        </w:rPr>
        <w:t xml:space="preserve">Khandelwal N, Duncan I, Rubinstein E, Ahmed T, Pegus C, Murphy P, </w:t>
      </w:r>
      <w:proofErr w:type="spellStart"/>
      <w:r w:rsidRPr="00C700FC">
        <w:rPr>
          <w:rFonts w:cs="Calibri"/>
          <w:color w:val="000000"/>
          <w:sz w:val="20"/>
          <w:szCs w:val="20"/>
        </w:rPr>
        <w:t>Kudrak</w:t>
      </w:r>
      <w:proofErr w:type="spellEnd"/>
      <w:r w:rsidRPr="00C700FC">
        <w:rPr>
          <w:rFonts w:cs="Calibri"/>
          <w:color w:val="000000"/>
          <w:sz w:val="20"/>
          <w:szCs w:val="20"/>
        </w:rPr>
        <w:t xml:space="preserve"> KE. </w:t>
      </w:r>
      <w:r>
        <w:rPr>
          <w:rFonts w:cs="Calibri"/>
          <w:color w:val="000000"/>
          <w:sz w:val="20"/>
          <w:szCs w:val="20"/>
        </w:rPr>
        <w:t>“</w:t>
      </w:r>
      <w:r w:rsidRPr="00C700FC">
        <w:rPr>
          <w:rFonts w:cs="Calibri"/>
          <w:color w:val="000000"/>
          <w:sz w:val="20"/>
          <w:szCs w:val="20"/>
        </w:rPr>
        <w:t>Medication adherence for 90-day quantities of medication dispensed through retail and mail order pharmacies.</w:t>
      </w:r>
      <w:r>
        <w:rPr>
          <w:rFonts w:cs="Calibri"/>
          <w:color w:val="000000"/>
          <w:sz w:val="20"/>
          <w:szCs w:val="20"/>
        </w:rPr>
        <w:t>”</w:t>
      </w:r>
      <w:r w:rsidRPr="00C700FC">
        <w:rPr>
          <w:rFonts w:cs="Calibri"/>
          <w:color w:val="000000"/>
          <w:sz w:val="20"/>
          <w:szCs w:val="20"/>
        </w:rPr>
        <w:t xml:space="preserve"> </w:t>
      </w:r>
      <w:r w:rsidRPr="00C700FC">
        <w:rPr>
          <w:rFonts w:cs="Calibri"/>
          <w:i/>
          <w:color w:val="000000"/>
          <w:sz w:val="20"/>
          <w:szCs w:val="20"/>
        </w:rPr>
        <w:t>Am J Manag Care</w:t>
      </w:r>
      <w:r w:rsidRPr="00C700FC">
        <w:rPr>
          <w:rFonts w:cs="Calibri"/>
          <w:color w:val="000000"/>
          <w:sz w:val="20"/>
          <w:szCs w:val="20"/>
        </w:rPr>
        <w:t>. 2011 Nov 1;17(11</w:t>
      </w:r>
      <w:proofErr w:type="gramStart"/>
      <w:r w:rsidRPr="00C700FC">
        <w:rPr>
          <w:rFonts w:cs="Calibri"/>
          <w:color w:val="000000"/>
          <w:sz w:val="20"/>
          <w:szCs w:val="20"/>
        </w:rPr>
        <w:t>):e</w:t>
      </w:r>
      <w:proofErr w:type="gramEnd"/>
      <w:r w:rsidRPr="00C700FC">
        <w:rPr>
          <w:rFonts w:cs="Calibri"/>
          <w:color w:val="000000"/>
          <w:sz w:val="20"/>
          <w:szCs w:val="20"/>
        </w:rPr>
        <w:t>427-34.</w:t>
      </w:r>
    </w:p>
    <w:p w14:paraId="3695FB24" w14:textId="77777777" w:rsidR="005801E1" w:rsidRPr="005E4C2C" w:rsidRDefault="005801E1" w:rsidP="005801E1">
      <w:pPr>
        <w:numPr>
          <w:ilvl w:val="0"/>
          <w:numId w:val="1"/>
        </w:numPr>
        <w:spacing w:after="0"/>
        <w:jc w:val="both"/>
        <w:rPr>
          <w:rFonts w:ascii="Calibri" w:eastAsia="Calibri" w:hAnsi="Calibri" w:cs="Calibri"/>
          <w:iCs/>
          <w:sz w:val="20"/>
          <w:szCs w:val="20"/>
        </w:rPr>
      </w:pPr>
      <w:r w:rsidRPr="005E4C2C">
        <w:rPr>
          <w:rFonts w:ascii="Calibri" w:eastAsia="Calibri" w:hAnsi="Calibri" w:cs="Calibri"/>
          <w:sz w:val="20"/>
          <w:szCs w:val="20"/>
        </w:rPr>
        <w:t xml:space="preserve">Vortherms, J., PharmD, Leonard Fensterheim, MPH, Michael Taitel, PhD, Heather Kirkham, PhD, MPH, Mahesh Raju, PharmD, MPH, Joanna Lalich, PharmD, Ian Duncan, FSA, FIA, FCIA, MAAA. </w:t>
      </w:r>
      <w:r w:rsidRPr="005E4C2C">
        <w:rPr>
          <w:rFonts w:ascii="Calibri" w:eastAsia="Calibri" w:hAnsi="Calibri" w:cs="Calibri"/>
          <w:b/>
          <w:i/>
          <w:sz w:val="20"/>
          <w:szCs w:val="20"/>
        </w:rPr>
        <w:t>“</w:t>
      </w:r>
      <w:r w:rsidRPr="005E4C2C">
        <w:rPr>
          <w:rFonts w:ascii="Calibri" w:eastAsia="Calibri" w:hAnsi="Calibri" w:cs="Calibri"/>
          <w:i/>
          <w:iCs/>
          <w:sz w:val="20"/>
          <w:szCs w:val="20"/>
        </w:rPr>
        <w:t>A Community Pharmacy Diabetes Management Program to Improve Biometric and Cardiac Risk Factors” Poster Presentation at American College of Clinical Pharmacy 2011 Annual Meeting</w:t>
      </w:r>
      <w:r w:rsidRPr="005E4C2C">
        <w:rPr>
          <w:rFonts w:ascii="Calibri" w:eastAsia="Calibri" w:hAnsi="Calibri" w:cs="Calibri"/>
          <w:iCs/>
          <w:sz w:val="20"/>
          <w:szCs w:val="20"/>
        </w:rPr>
        <w:t>.</w:t>
      </w:r>
    </w:p>
    <w:p w14:paraId="32D07689" w14:textId="77777777" w:rsidR="005801E1" w:rsidRPr="00717BC4" w:rsidRDefault="005801E1" w:rsidP="005801E1">
      <w:pPr>
        <w:pStyle w:val="ListParagraph"/>
        <w:numPr>
          <w:ilvl w:val="0"/>
          <w:numId w:val="1"/>
        </w:numPr>
        <w:rPr>
          <w:sz w:val="20"/>
          <w:szCs w:val="20"/>
        </w:rPr>
      </w:pPr>
      <w:r>
        <w:rPr>
          <w:sz w:val="20"/>
          <w:szCs w:val="20"/>
        </w:rPr>
        <w:t xml:space="preserve">Patwardhan, A, Duncan, I, Murphy, P, Pegus, C.  The Expanded Role and Value of Pharmacists in Health Care.  </w:t>
      </w:r>
      <w:r>
        <w:rPr>
          <w:i/>
          <w:sz w:val="20"/>
          <w:szCs w:val="20"/>
        </w:rPr>
        <w:t>Population Health Management</w:t>
      </w:r>
      <w:r>
        <w:rPr>
          <w:sz w:val="20"/>
          <w:szCs w:val="20"/>
        </w:rPr>
        <w:t xml:space="preserve">.  </w:t>
      </w:r>
      <w:r w:rsidRPr="00717BC4">
        <w:rPr>
          <w:rFonts w:cs="Arial"/>
          <w:sz w:val="20"/>
          <w:szCs w:val="20"/>
        </w:rPr>
        <w:t>June 2012, 15(3): 157-162. doi:10.1089/pop.2011.0030.</w:t>
      </w:r>
    </w:p>
    <w:p w14:paraId="0260332D" w14:textId="77777777" w:rsidR="005801E1" w:rsidRPr="00BE49F1" w:rsidRDefault="005801E1" w:rsidP="005801E1">
      <w:pPr>
        <w:pStyle w:val="ListParagraph"/>
        <w:numPr>
          <w:ilvl w:val="0"/>
          <w:numId w:val="1"/>
        </w:numPr>
        <w:rPr>
          <w:rStyle w:val="slug-pages3"/>
          <w:sz w:val="20"/>
          <w:szCs w:val="20"/>
        </w:rPr>
      </w:pPr>
      <w:r w:rsidRPr="00D31058">
        <w:rPr>
          <w:rFonts w:cs="Calibri"/>
          <w:color w:val="000000"/>
          <w:sz w:val="20"/>
          <w:szCs w:val="20"/>
        </w:rPr>
        <w:t xml:space="preserve">Khandelwal N, Duncan I, Ahmed T et al. Oral Chemotherapy Program Improves Adherence and Reduces Wastage and Hospital Admissions. </w:t>
      </w:r>
      <w:r w:rsidRPr="00D31058">
        <w:rPr>
          <w:rFonts w:cs="Calibri"/>
          <w:i/>
          <w:iCs/>
          <w:color w:val="000000"/>
          <w:sz w:val="20"/>
          <w:szCs w:val="20"/>
        </w:rPr>
        <w:t xml:space="preserve">Journal of National Comprehensive Cancer Network.  </w:t>
      </w:r>
      <w:proofErr w:type="gramStart"/>
      <w:r w:rsidRPr="00717BC4">
        <w:rPr>
          <w:rStyle w:val="slug-pub-date3"/>
          <w:rFonts w:cs="Lucida Sans Unicode"/>
          <w:color w:val="333300"/>
          <w:sz w:val="20"/>
          <w:szCs w:val="20"/>
          <w:lang w:val="en"/>
        </w:rPr>
        <w:t>2012;</w:t>
      </w:r>
      <w:r w:rsidRPr="00717BC4">
        <w:rPr>
          <w:rStyle w:val="slug-vol"/>
          <w:rFonts w:cs="Lucida Sans Unicode"/>
          <w:color w:val="333300"/>
          <w:szCs w:val="20"/>
          <w:lang w:val="en"/>
        </w:rPr>
        <w:t>10:</w:t>
      </w:r>
      <w:r w:rsidRPr="00717BC4">
        <w:rPr>
          <w:rStyle w:val="slug-pages3"/>
          <w:rFonts w:cs="Lucida Sans Unicode"/>
          <w:color w:val="333300"/>
          <w:sz w:val="20"/>
          <w:szCs w:val="20"/>
          <w:lang w:val="en"/>
        </w:rPr>
        <w:t>618</w:t>
      </w:r>
      <w:proofErr w:type="gramEnd"/>
      <w:r w:rsidRPr="00717BC4">
        <w:rPr>
          <w:rStyle w:val="slug-pages3"/>
          <w:rFonts w:cs="Lucida Sans Unicode"/>
          <w:color w:val="333300"/>
          <w:sz w:val="20"/>
          <w:szCs w:val="20"/>
          <w:lang w:val="en"/>
        </w:rPr>
        <w:t>-625.</w:t>
      </w:r>
    </w:p>
    <w:p w14:paraId="3F97EAD0" w14:textId="77777777" w:rsidR="005801E1" w:rsidRPr="00BE49F1" w:rsidRDefault="005801E1" w:rsidP="005801E1">
      <w:pPr>
        <w:pStyle w:val="ListParagraph"/>
        <w:numPr>
          <w:ilvl w:val="0"/>
          <w:numId w:val="1"/>
        </w:numPr>
        <w:rPr>
          <w:sz w:val="20"/>
          <w:szCs w:val="20"/>
        </w:rPr>
      </w:pPr>
      <w:r w:rsidRPr="00BE49F1">
        <w:rPr>
          <w:rFonts w:cs="Calibri"/>
          <w:sz w:val="20"/>
          <w:szCs w:val="20"/>
        </w:rPr>
        <w:t xml:space="preserve">Ian Duncan, FSA FIA FCIA MAAA, et al.  "Assessing the Value of the Diabetes Educator” </w:t>
      </w:r>
      <w:r w:rsidRPr="00BE49F1">
        <w:rPr>
          <w:rFonts w:cs="Calibri"/>
          <w:i/>
          <w:sz w:val="20"/>
          <w:szCs w:val="20"/>
        </w:rPr>
        <w:t>The Diabetes Educator</w:t>
      </w:r>
      <w:r w:rsidRPr="00BE49F1">
        <w:rPr>
          <w:rFonts w:cs="Calibri"/>
          <w:sz w:val="20"/>
          <w:szCs w:val="20"/>
        </w:rPr>
        <w:t xml:space="preserve"> 37(5) September-October 2011 638-657. </w:t>
      </w:r>
    </w:p>
    <w:p w14:paraId="42180083" w14:textId="77777777" w:rsidR="005801E1" w:rsidRPr="00BE49F1" w:rsidRDefault="005801E1" w:rsidP="005801E1">
      <w:pPr>
        <w:pStyle w:val="ListParagraph"/>
        <w:numPr>
          <w:ilvl w:val="0"/>
          <w:numId w:val="1"/>
        </w:numPr>
        <w:rPr>
          <w:sz w:val="20"/>
          <w:szCs w:val="20"/>
        </w:rPr>
      </w:pPr>
      <w:r w:rsidRPr="00BE49F1">
        <w:rPr>
          <w:rFonts w:cs="Calibri"/>
          <w:sz w:val="20"/>
          <w:szCs w:val="20"/>
        </w:rPr>
        <w:t xml:space="preserve">Khandelwal, N, Duncan I, et al “Medication Adherence for 90-day Quantities of Medication dispensed through Retail and Mail-order pharmacies.”  </w:t>
      </w:r>
      <w:r w:rsidRPr="00BE49F1">
        <w:rPr>
          <w:rFonts w:cs="Calibri"/>
          <w:i/>
          <w:iCs/>
          <w:color w:val="000000"/>
          <w:sz w:val="20"/>
          <w:szCs w:val="20"/>
        </w:rPr>
        <w:t xml:space="preserve">Am J Manag Care. </w:t>
      </w:r>
      <w:r w:rsidRPr="00BE49F1">
        <w:rPr>
          <w:rFonts w:cs="Calibri"/>
          <w:color w:val="000000"/>
          <w:sz w:val="20"/>
          <w:szCs w:val="20"/>
        </w:rPr>
        <w:t>2011; 17 (5 Spec No.</w:t>
      </w:r>
      <w:proofErr w:type="gramStart"/>
      <w:r w:rsidRPr="00BE49F1">
        <w:rPr>
          <w:rFonts w:cs="Calibri"/>
          <w:color w:val="000000"/>
          <w:sz w:val="20"/>
          <w:szCs w:val="20"/>
        </w:rPr>
        <w:t>):e</w:t>
      </w:r>
      <w:proofErr w:type="gramEnd"/>
      <w:r w:rsidRPr="00BE49F1">
        <w:rPr>
          <w:rFonts w:cs="Calibri"/>
          <w:color w:val="000000"/>
          <w:sz w:val="20"/>
          <w:szCs w:val="20"/>
        </w:rPr>
        <w:t xml:space="preserve">169-e173. </w:t>
      </w:r>
    </w:p>
    <w:p w14:paraId="2DD86EFE" w14:textId="77777777" w:rsidR="005801E1" w:rsidRPr="00A76FAD" w:rsidRDefault="005801E1" w:rsidP="005801E1">
      <w:pPr>
        <w:pStyle w:val="ListParagraph"/>
        <w:numPr>
          <w:ilvl w:val="0"/>
          <w:numId w:val="1"/>
        </w:numPr>
        <w:rPr>
          <w:rFonts w:ascii="Verdana" w:hAnsi="Verdana"/>
          <w:sz w:val="20"/>
          <w:szCs w:val="20"/>
        </w:rPr>
      </w:pPr>
      <w:r w:rsidRPr="00A76FAD">
        <w:rPr>
          <w:rFonts w:cs="Calibri"/>
          <w:sz w:val="20"/>
          <w:szCs w:val="20"/>
        </w:rPr>
        <w:t xml:space="preserve">Day, Brian, Ed. D., Ian Duncan, FSA FIA FCIA MAAA, and Brian Beatty, MS “A Risk-Based Evaluation Methodology for Cost Effectiveness of Chronic Condition Health Management </w:t>
      </w:r>
      <w:proofErr w:type="gramStart"/>
      <w:r w:rsidRPr="00A76FAD">
        <w:rPr>
          <w:rFonts w:cs="Calibri"/>
          <w:sz w:val="20"/>
          <w:szCs w:val="20"/>
        </w:rPr>
        <w:t xml:space="preserve">Programs”   </w:t>
      </w:r>
      <w:proofErr w:type="gramEnd"/>
      <w:r w:rsidRPr="00A76FAD">
        <w:rPr>
          <w:rFonts w:cs="Calibri"/>
          <w:i/>
          <w:sz w:val="20"/>
          <w:szCs w:val="20"/>
        </w:rPr>
        <w:t>North American Actuarial Journal</w:t>
      </w:r>
      <w:r w:rsidRPr="00A76FAD">
        <w:rPr>
          <w:rFonts w:cs="Calibri"/>
          <w:sz w:val="20"/>
          <w:szCs w:val="20"/>
        </w:rPr>
        <w:t xml:space="preserve"> 2011 15 (1).   </w:t>
      </w:r>
    </w:p>
    <w:p w14:paraId="6326D219" w14:textId="77777777" w:rsidR="005801E1" w:rsidRPr="00503849" w:rsidRDefault="005801E1" w:rsidP="005801E1">
      <w:pPr>
        <w:pStyle w:val="ListParagraph"/>
        <w:numPr>
          <w:ilvl w:val="0"/>
          <w:numId w:val="1"/>
        </w:numPr>
        <w:rPr>
          <w:rFonts w:ascii="Verdana" w:hAnsi="Verdana"/>
          <w:sz w:val="20"/>
          <w:szCs w:val="20"/>
        </w:rPr>
      </w:pPr>
      <w:r w:rsidRPr="00F44767">
        <w:rPr>
          <w:rFonts w:cs="Calibri"/>
          <w:sz w:val="20"/>
          <w:szCs w:val="20"/>
        </w:rPr>
        <w:t xml:space="preserve">"Managing and Measuring Care Management Intervention Programs" in J. Rosenbloom (ed).   </w:t>
      </w:r>
      <w:r w:rsidRPr="00F44767">
        <w:rPr>
          <w:rFonts w:cs="Calibri"/>
          <w:i/>
          <w:sz w:val="20"/>
          <w:szCs w:val="20"/>
        </w:rPr>
        <w:t>Handbook of Employee Benefits</w:t>
      </w:r>
      <w:r w:rsidRPr="00F44767">
        <w:rPr>
          <w:rFonts w:cs="Calibri"/>
          <w:sz w:val="20"/>
          <w:szCs w:val="20"/>
        </w:rPr>
        <w:t xml:space="preserve"> (7th ed).  McGraw-Hill (2011).  </w:t>
      </w:r>
    </w:p>
    <w:p w14:paraId="63570264" w14:textId="77777777" w:rsidR="005801E1" w:rsidRPr="00503849" w:rsidRDefault="005801E1" w:rsidP="005801E1">
      <w:pPr>
        <w:pStyle w:val="ListParagraph"/>
        <w:numPr>
          <w:ilvl w:val="0"/>
          <w:numId w:val="1"/>
        </w:numPr>
        <w:rPr>
          <w:rFonts w:ascii="Verdana" w:hAnsi="Verdana"/>
          <w:sz w:val="20"/>
          <w:szCs w:val="20"/>
        </w:rPr>
      </w:pPr>
      <w:r w:rsidRPr="00503849">
        <w:rPr>
          <w:rFonts w:cs="Calibri"/>
          <w:color w:val="000000"/>
          <w:sz w:val="20"/>
          <w:szCs w:val="20"/>
        </w:rPr>
        <w:t>Khandelwal N, Duncan I, Ahmed T et al</w:t>
      </w:r>
      <w:r>
        <w:rPr>
          <w:rFonts w:cs="Calibri"/>
          <w:color w:val="000000"/>
          <w:sz w:val="20"/>
          <w:szCs w:val="20"/>
        </w:rPr>
        <w:t xml:space="preserve">. </w:t>
      </w:r>
      <w:r w:rsidRPr="00F44767">
        <w:rPr>
          <w:rFonts w:cs="Calibri"/>
          <w:color w:val="000000"/>
          <w:sz w:val="20"/>
          <w:szCs w:val="20"/>
        </w:rPr>
        <w:t xml:space="preserve">"Impact of Clinical Oral Chemotherapy Program on Wastage and Hospitalizations.". </w:t>
      </w:r>
      <w:r w:rsidRPr="00F44767">
        <w:rPr>
          <w:rFonts w:cs="Calibri"/>
          <w:i/>
          <w:iCs/>
          <w:color w:val="000000"/>
          <w:sz w:val="20"/>
          <w:szCs w:val="20"/>
        </w:rPr>
        <w:t xml:space="preserve">Am J Manag Care. </w:t>
      </w:r>
      <w:r w:rsidRPr="00F44767">
        <w:rPr>
          <w:rFonts w:cs="Calibri"/>
          <w:color w:val="000000"/>
          <w:sz w:val="20"/>
          <w:szCs w:val="20"/>
        </w:rPr>
        <w:t>2011; 17 (5 Spec No.</w:t>
      </w:r>
      <w:proofErr w:type="gramStart"/>
      <w:r w:rsidRPr="00F44767">
        <w:rPr>
          <w:rFonts w:cs="Calibri"/>
          <w:color w:val="000000"/>
          <w:sz w:val="20"/>
          <w:szCs w:val="20"/>
        </w:rPr>
        <w:t>):e</w:t>
      </w:r>
      <w:proofErr w:type="gramEnd"/>
      <w:r w:rsidRPr="00F44767">
        <w:rPr>
          <w:rFonts w:cs="Calibri"/>
          <w:color w:val="000000"/>
          <w:sz w:val="20"/>
          <w:szCs w:val="20"/>
        </w:rPr>
        <w:t xml:space="preserve">169-e173 </w:t>
      </w:r>
    </w:p>
    <w:p w14:paraId="1C039318" w14:textId="77777777" w:rsidR="005801E1" w:rsidRDefault="005801E1" w:rsidP="005801E1">
      <w:pPr>
        <w:pStyle w:val="ListParagraph"/>
        <w:numPr>
          <w:ilvl w:val="0"/>
          <w:numId w:val="1"/>
        </w:numPr>
        <w:rPr>
          <w:rFonts w:ascii="Verdana" w:hAnsi="Verdana"/>
          <w:sz w:val="20"/>
          <w:szCs w:val="20"/>
        </w:rPr>
      </w:pPr>
      <w:r w:rsidRPr="00503849">
        <w:rPr>
          <w:rFonts w:cs="Calibri"/>
          <w:color w:val="000000"/>
          <w:sz w:val="20"/>
          <w:szCs w:val="20"/>
        </w:rPr>
        <w:t xml:space="preserve">Khandelwal N, Duncan I, Ahmed T et al </w:t>
      </w:r>
      <w:r w:rsidRPr="00F44767">
        <w:rPr>
          <w:rFonts w:cs="Calibri"/>
          <w:color w:val="000000"/>
          <w:sz w:val="20"/>
          <w:szCs w:val="20"/>
        </w:rPr>
        <w:t xml:space="preserve">"Impact of Clinical Oral Chemotherapy Program on Wastage and Hospitalizations." </w:t>
      </w:r>
      <w:r w:rsidRPr="00F44767">
        <w:rPr>
          <w:rFonts w:cs="Calibri"/>
          <w:i/>
          <w:iCs/>
          <w:color w:val="000000"/>
          <w:sz w:val="20"/>
          <w:szCs w:val="20"/>
        </w:rPr>
        <w:t xml:space="preserve">Journal of Oncology Practice. </w:t>
      </w:r>
      <w:r w:rsidRPr="00F44767">
        <w:rPr>
          <w:rFonts w:cs="Calibri"/>
          <w:color w:val="000000"/>
          <w:sz w:val="20"/>
          <w:szCs w:val="20"/>
        </w:rPr>
        <w:t>2011; 7 (3S</w:t>
      </w:r>
      <w:proofErr w:type="gramStart"/>
      <w:r w:rsidRPr="00F44767">
        <w:rPr>
          <w:rFonts w:cs="Calibri"/>
          <w:color w:val="000000"/>
          <w:sz w:val="20"/>
          <w:szCs w:val="20"/>
        </w:rPr>
        <w:t>):e</w:t>
      </w:r>
      <w:proofErr w:type="gramEnd"/>
      <w:r w:rsidRPr="00F44767">
        <w:rPr>
          <w:rFonts w:cs="Calibri"/>
          <w:color w:val="000000"/>
          <w:sz w:val="20"/>
          <w:szCs w:val="20"/>
        </w:rPr>
        <w:t xml:space="preserve">25s-e29s </w:t>
      </w:r>
    </w:p>
    <w:p w14:paraId="502EAE40" w14:textId="77777777" w:rsidR="005801E1" w:rsidRPr="00BF5130" w:rsidRDefault="005801E1" w:rsidP="005801E1">
      <w:pPr>
        <w:pStyle w:val="ListParagraph"/>
        <w:numPr>
          <w:ilvl w:val="0"/>
          <w:numId w:val="1"/>
        </w:numPr>
        <w:rPr>
          <w:rFonts w:ascii="Verdana" w:hAnsi="Verdana"/>
          <w:sz w:val="20"/>
          <w:szCs w:val="20"/>
        </w:rPr>
      </w:pPr>
      <w:r w:rsidRPr="00F44767">
        <w:rPr>
          <w:rFonts w:cs="Calibri"/>
          <w:color w:val="000000"/>
          <w:sz w:val="20"/>
          <w:szCs w:val="20"/>
        </w:rPr>
        <w:t xml:space="preserve">Taitel M, Duncan I, Meaux N, Pegus </w:t>
      </w:r>
      <w:proofErr w:type="gramStart"/>
      <w:r w:rsidRPr="00F44767">
        <w:rPr>
          <w:rFonts w:cs="Calibri"/>
          <w:color w:val="000000"/>
          <w:sz w:val="20"/>
          <w:szCs w:val="20"/>
        </w:rPr>
        <w:t>C,  Valerian</w:t>
      </w:r>
      <w:proofErr w:type="gramEnd"/>
      <w:r w:rsidRPr="00F44767">
        <w:rPr>
          <w:rFonts w:cs="Calibri"/>
          <w:color w:val="000000"/>
          <w:sz w:val="20"/>
          <w:szCs w:val="20"/>
        </w:rPr>
        <w:t xml:space="preserve"> C, Kirkham H. </w:t>
      </w:r>
      <w:r>
        <w:rPr>
          <w:rFonts w:cs="Calibri"/>
          <w:color w:val="000000"/>
          <w:sz w:val="20"/>
          <w:szCs w:val="20"/>
        </w:rPr>
        <w:t>“</w:t>
      </w:r>
      <w:r w:rsidRPr="00F44767">
        <w:rPr>
          <w:rFonts w:cs="Calibri"/>
          <w:color w:val="000000"/>
          <w:sz w:val="20"/>
          <w:szCs w:val="20"/>
        </w:rPr>
        <w:t>Place of death among terminal heart failure patients in a continuous inotropic infusion program.</w:t>
      </w:r>
      <w:r>
        <w:rPr>
          <w:rFonts w:cs="Calibri"/>
          <w:color w:val="000000"/>
          <w:sz w:val="20"/>
          <w:szCs w:val="20"/>
        </w:rPr>
        <w:t>”</w:t>
      </w:r>
      <w:r w:rsidRPr="00F44767">
        <w:rPr>
          <w:rFonts w:cs="Calibri"/>
          <w:color w:val="000000"/>
          <w:sz w:val="20"/>
          <w:szCs w:val="20"/>
        </w:rPr>
        <w:t xml:space="preserve"> </w:t>
      </w:r>
      <w:r w:rsidRPr="00F44767">
        <w:rPr>
          <w:rFonts w:cs="Calibri"/>
          <w:i/>
          <w:iCs/>
          <w:color w:val="000000"/>
          <w:sz w:val="20"/>
          <w:szCs w:val="20"/>
        </w:rPr>
        <w:t xml:space="preserve">American Journal of Hospice and Palliative Medicine. </w:t>
      </w:r>
    </w:p>
    <w:p w14:paraId="29DF9F60" w14:textId="77777777" w:rsidR="005801E1" w:rsidRPr="00BF5130" w:rsidRDefault="005801E1" w:rsidP="005801E1">
      <w:pPr>
        <w:pStyle w:val="ListParagraph"/>
        <w:numPr>
          <w:ilvl w:val="0"/>
          <w:numId w:val="1"/>
        </w:numPr>
        <w:rPr>
          <w:rFonts w:ascii="Verdana" w:hAnsi="Verdana"/>
          <w:sz w:val="20"/>
          <w:szCs w:val="20"/>
        </w:rPr>
      </w:pPr>
      <w:r w:rsidRPr="00F44767">
        <w:rPr>
          <w:rFonts w:cs="Calibri"/>
          <w:bCs/>
          <w:color w:val="231F20"/>
          <w:sz w:val="20"/>
          <w:szCs w:val="20"/>
        </w:rPr>
        <w:t xml:space="preserve">"Effects of a Pregnancy Management Program </w:t>
      </w:r>
      <w:proofErr w:type="gramStart"/>
      <w:r w:rsidRPr="00F44767">
        <w:rPr>
          <w:rFonts w:cs="Calibri"/>
          <w:bCs/>
          <w:color w:val="231F20"/>
          <w:sz w:val="20"/>
          <w:szCs w:val="20"/>
        </w:rPr>
        <w:t>On</w:t>
      </w:r>
      <w:proofErr w:type="gramEnd"/>
      <w:r w:rsidRPr="00F44767">
        <w:rPr>
          <w:rFonts w:cs="Calibri"/>
          <w:bCs/>
          <w:color w:val="231F20"/>
          <w:sz w:val="20"/>
          <w:szCs w:val="20"/>
        </w:rPr>
        <w:t xml:space="preserve"> Birth Outcomes in Managed Medic</w:t>
      </w:r>
      <w:r>
        <w:rPr>
          <w:rFonts w:cs="Calibri"/>
          <w:bCs/>
          <w:color w:val="231F20"/>
          <w:sz w:val="20"/>
          <w:szCs w:val="20"/>
        </w:rPr>
        <w:t>aid"   Mason, M, Poole-Yeager, A</w:t>
      </w:r>
      <w:r w:rsidRPr="00F44767">
        <w:rPr>
          <w:rFonts w:cs="Calibri"/>
          <w:bCs/>
          <w:color w:val="231F20"/>
          <w:sz w:val="20"/>
          <w:szCs w:val="20"/>
        </w:rPr>
        <w:t xml:space="preserve">, Lucas B, Krueger, C, Ahmed T, Duncan I.  </w:t>
      </w:r>
      <w:r w:rsidRPr="00F44767">
        <w:rPr>
          <w:rFonts w:cs="Calibri"/>
          <w:bCs/>
          <w:i/>
          <w:color w:val="231F20"/>
          <w:sz w:val="20"/>
          <w:szCs w:val="20"/>
        </w:rPr>
        <w:t xml:space="preserve">Managed Care </w:t>
      </w:r>
      <w:r w:rsidRPr="00F44767">
        <w:rPr>
          <w:rFonts w:cs="Calibri"/>
          <w:bCs/>
          <w:color w:val="231F20"/>
          <w:sz w:val="20"/>
          <w:szCs w:val="20"/>
        </w:rPr>
        <w:t xml:space="preserve">April 2011.  </w:t>
      </w:r>
    </w:p>
    <w:p w14:paraId="02F1DC5A" w14:textId="77777777" w:rsidR="005801E1" w:rsidRPr="00BF5130" w:rsidRDefault="005801E1" w:rsidP="005801E1">
      <w:pPr>
        <w:pStyle w:val="ListParagraph"/>
        <w:numPr>
          <w:ilvl w:val="0"/>
          <w:numId w:val="1"/>
        </w:numPr>
        <w:rPr>
          <w:rFonts w:ascii="Verdana" w:hAnsi="Verdana"/>
          <w:sz w:val="20"/>
          <w:szCs w:val="20"/>
        </w:rPr>
      </w:pPr>
      <w:r w:rsidRPr="00F44767">
        <w:rPr>
          <w:rFonts w:cs="Calibri"/>
          <w:i/>
          <w:color w:val="000000"/>
          <w:sz w:val="20"/>
          <w:szCs w:val="20"/>
        </w:rPr>
        <w:t xml:space="preserve">Healthcare Predictive Modeling and Risk Adjustment </w:t>
      </w:r>
      <w:r w:rsidRPr="00F44767">
        <w:rPr>
          <w:rFonts w:cs="Calibri"/>
          <w:color w:val="000000"/>
          <w:sz w:val="20"/>
          <w:szCs w:val="20"/>
        </w:rPr>
        <w:t xml:space="preserve">Actex Publications (2011).  </w:t>
      </w:r>
    </w:p>
    <w:p w14:paraId="139F1E32" w14:textId="77777777" w:rsidR="005801E1" w:rsidRPr="00F44767" w:rsidRDefault="005801E1" w:rsidP="005801E1">
      <w:pPr>
        <w:pStyle w:val="ListParagraph"/>
        <w:numPr>
          <w:ilvl w:val="0"/>
          <w:numId w:val="1"/>
        </w:numPr>
        <w:rPr>
          <w:rFonts w:cs="Calibri"/>
          <w:color w:val="000000"/>
          <w:sz w:val="20"/>
          <w:szCs w:val="20"/>
        </w:rPr>
      </w:pPr>
      <w:r w:rsidRPr="00BF5130">
        <w:rPr>
          <w:rFonts w:cs="Calibri"/>
          <w:color w:val="000000"/>
          <w:sz w:val="20"/>
          <w:szCs w:val="20"/>
        </w:rPr>
        <w:t xml:space="preserve">Rosenberg, M, Johnson, P.H. Jr. </w:t>
      </w:r>
      <w:r w:rsidRPr="00BF5130">
        <w:rPr>
          <w:rFonts w:cs="Calibri"/>
          <w:color w:val="000000"/>
          <w:sz w:val="20"/>
          <w:szCs w:val="20"/>
          <w:vertAlign w:val="superscript"/>
        </w:rPr>
        <w:t xml:space="preserve"> </w:t>
      </w:r>
      <w:r w:rsidRPr="00BF5130">
        <w:rPr>
          <w:rFonts w:cs="Calibri"/>
          <w:color w:val="000000"/>
          <w:sz w:val="20"/>
          <w:szCs w:val="20"/>
        </w:rPr>
        <w:t>and Duncan, I</w:t>
      </w:r>
      <w:r w:rsidRPr="00F44767">
        <w:rPr>
          <w:rFonts w:cs="Calibri"/>
          <w:i/>
          <w:iCs/>
          <w:color w:val="000000"/>
          <w:sz w:val="20"/>
          <w:szCs w:val="20"/>
        </w:rPr>
        <w:t xml:space="preserve"> </w:t>
      </w:r>
      <w:r w:rsidRPr="00F44767">
        <w:rPr>
          <w:rFonts w:cs="Calibri"/>
          <w:bCs/>
          <w:color w:val="000000"/>
          <w:sz w:val="20"/>
          <w:szCs w:val="20"/>
        </w:rPr>
        <w:t xml:space="preserve">“Exploring Stakeholder Perspectives on What Is Affordable Health </w:t>
      </w:r>
      <w:proofErr w:type="gramStart"/>
      <w:r w:rsidRPr="00F44767">
        <w:rPr>
          <w:rFonts w:cs="Calibri"/>
          <w:bCs/>
          <w:color w:val="000000"/>
          <w:sz w:val="20"/>
          <w:szCs w:val="20"/>
        </w:rPr>
        <w:t xml:space="preserve">Care”  </w:t>
      </w:r>
      <w:r w:rsidRPr="00F44767">
        <w:rPr>
          <w:rFonts w:cs="Calibri"/>
          <w:i/>
          <w:color w:val="000000"/>
          <w:sz w:val="20"/>
          <w:szCs w:val="20"/>
        </w:rPr>
        <w:t>Risk</w:t>
      </w:r>
      <w:proofErr w:type="gramEnd"/>
      <w:r w:rsidRPr="00F44767">
        <w:rPr>
          <w:rFonts w:cs="Calibri"/>
          <w:i/>
          <w:color w:val="000000"/>
          <w:sz w:val="20"/>
          <w:szCs w:val="20"/>
        </w:rPr>
        <w:t xml:space="preserve"> Management and Insurance Review; </w:t>
      </w:r>
      <w:r w:rsidRPr="00F44767">
        <w:rPr>
          <w:rFonts w:cs="Calibri"/>
          <w:color w:val="000000"/>
          <w:sz w:val="20"/>
          <w:szCs w:val="20"/>
        </w:rPr>
        <w:t xml:space="preserve">published online, November 2009. </w:t>
      </w:r>
    </w:p>
    <w:p w14:paraId="5A56322A" w14:textId="77777777" w:rsidR="005801E1" w:rsidRPr="00F44767" w:rsidRDefault="005801E1" w:rsidP="005801E1">
      <w:pPr>
        <w:pStyle w:val="ListParagraph"/>
        <w:numPr>
          <w:ilvl w:val="0"/>
          <w:numId w:val="1"/>
        </w:numPr>
        <w:rPr>
          <w:rFonts w:cs="Calibri"/>
          <w:color w:val="000000"/>
          <w:sz w:val="20"/>
          <w:szCs w:val="20"/>
        </w:rPr>
      </w:pPr>
      <w:r w:rsidRPr="00BF5130">
        <w:rPr>
          <w:rFonts w:cs="Calibri"/>
          <w:sz w:val="20"/>
          <w:szCs w:val="20"/>
        </w:rPr>
        <w:t xml:space="preserve">Ian Duncan, FSA FIA FCIA MAAA, et al.  </w:t>
      </w:r>
      <w:r w:rsidRPr="00F44767">
        <w:rPr>
          <w:rFonts w:cs="Calibri"/>
          <w:sz w:val="20"/>
          <w:szCs w:val="20"/>
        </w:rPr>
        <w:t xml:space="preserve"> “Assessing the Value of Diabetes </w:t>
      </w:r>
      <w:proofErr w:type="gramStart"/>
      <w:r w:rsidRPr="00F44767">
        <w:rPr>
          <w:rFonts w:cs="Calibri"/>
          <w:sz w:val="20"/>
          <w:szCs w:val="20"/>
        </w:rPr>
        <w:t xml:space="preserve">Education”  </w:t>
      </w:r>
      <w:r w:rsidRPr="002B3445">
        <w:rPr>
          <w:rFonts w:cs="Calibri"/>
          <w:i/>
          <w:sz w:val="20"/>
          <w:szCs w:val="20"/>
        </w:rPr>
        <w:t>The</w:t>
      </w:r>
      <w:proofErr w:type="gramEnd"/>
      <w:r w:rsidRPr="002B3445">
        <w:rPr>
          <w:rFonts w:cs="Calibri"/>
          <w:i/>
          <w:sz w:val="20"/>
          <w:szCs w:val="20"/>
        </w:rPr>
        <w:t xml:space="preserve"> Diabetes Educator</w:t>
      </w:r>
      <w:r w:rsidRPr="00F44767">
        <w:rPr>
          <w:rFonts w:cs="Calibri"/>
          <w:sz w:val="20"/>
          <w:szCs w:val="20"/>
        </w:rPr>
        <w:t xml:space="preserve"> 35(5) September-October 2009 752-760.  </w:t>
      </w:r>
    </w:p>
    <w:p w14:paraId="37CF6979" w14:textId="07BD4328" w:rsidR="005801E1" w:rsidRPr="00140473" w:rsidRDefault="005801E1" w:rsidP="005801E1">
      <w:pPr>
        <w:pStyle w:val="ListParagraph"/>
        <w:numPr>
          <w:ilvl w:val="0"/>
          <w:numId w:val="1"/>
        </w:numPr>
        <w:rPr>
          <w:rFonts w:cs="Calibri"/>
          <w:sz w:val="20"/>
          <w:szCs w:val="20"/>
        </w:rPr>
      </w:pPr>
      <w:r>
        <w:rPr>
          <w:sz w:val="20"/>
          <w:szCs w:val="20"/>
        </w:rPr>
        <w:t>Birkmeyer, C and Duncan I</w:t>
      </w:r>
      <w:proofErr w:type="gramStart"/>
      <w:r>
        <w:rPr>
          <w:sz w:val="20"/>
          <w:szCs w:val="20"/>
        </w:rPr>
        <w:t>:  “</w:t>
      </w:r>
      <w:proofErr w:type="gramEnd"/>
      <w:r w:rsidRPr="00E639E2">
        <w:rPr>
          <w:rStyle w:val="Hyperlink"/>
          <w:color w:val="auto"/>
          <w:sz w:val="20"/>
          <w:szCs w:val="20"/>
          <w:u w:val="none"/>
        </w:rPr>
        <w:t>Health plans tackle DM. Software innovations enable health plans to structure results-driven disease-management pr</w:t>
      </w:r>
      <w:r w:rsidR="00E639E2" w:rsidRPr="00E639E2">
        <w:rPr>
          <w:rStyle w:val="Hyperlink"/>
          <w:color w:val="auto"/>
          <w:sz w:val="20"/>
          <w:szCs w:val="20"/>
          <w:u w:val="none"/>
        </w:rPr>
        <w:t>ograms and demonstrate true ROI.</w:t>
      </w:r>
      <w:r w:rsidRPr="00E639E2">
        <w:rPr>
          <w:sz w:val="20"/>
          <w:szCs w:val="20"/>
        </w:rPr>
        <w:t xml:space="preserve">” </w:t>
      </w:r>
      <w:hyperlink r:id="rId20" w:history="1">
        <w:r w:rsidRPr="00E639E2">
          <w:rPr>
            <w:rStyle w:val="Hyperlink"/>
            <w:i/>
            <w:color w:val="auto"/>
            <w:sz w:val="20"/>
            <w:szCs w:val="20"/>
            <w:u w:val="none"/>
          </w:rPr>
          <w:t>Health Management Technology</w:t>
        </w:r>
      </w:hyperlink>
      <w:r w:rsidRPr="00140473">
        <w:rPr>
          <w:rStyle w:val="br"/>
          <w:sz w:val="20"/>
          <w:szCs w:val="20"/>
        </w:rPr>
        <w:t>.2009 Jun;30(6): 22, 24</w:t>
      </w:r>
      <w:r>
        <w:rPr>
          <w:rStyle w:val="br"/>
          <w:sz w:val="20"/>
          <w:szCs w:val="20"/>
        </w:rPr>
        <w:t>.</w:t>
      </w:r>
    </w:p>
    <w:p w14:paraId="2B0E163C" w14:textId="77777777" w:rsidR="005801E1" w:rsidRPr="00F44767" w:rsidRDefault="005801E1" w:rsidP="005801E1">
      <w:pPr>
        <w:pStyle w:val="ListParagraph"/>
        <w:numPr>
          <w:ilvl w:val="0"/>
          <w:numId w:val="1"/>
        </w:numPr>
        <w:rPr>
          <w:rFonts w:cs="Calibri"/>
          <w:color w:val="000000"/>
          <w:sz w:val="20"/>
          <w:szCs w:val="20"/>
        </w:rPr>
      </w:pPr>
      <w:r w:rsidRPr="00BF5130">
        <w:rPr>
          <w:rFonts w:cs="Calibri"/>
          <w:sz w:val="20"/>
          <w:szCs w:val="20"/>
        </w:rPr>
        <w:t>Messer, T, Farah, J.R., Duncan I, Kamali, K, Harner, J.</w:t>
      </w:r>
      <w:r>
        <w:rPr>
          <w:rFonts w:cs="Calibri"/>
          <w:sz w:val="20"/>
          <w:szCs w:val="20"/>
        </w:rPr>
        <w:t xml:space="preserve">  </w:t>
      </w:r>
      <w:r w:rsidRPr="00F44767">
        <w:rPr>
          <w:rFonts w:cs="Calibri"/>
          <w:sz w:val="20"/>
          <w:szCs w:val="20"/>
        </w:rPr>
        <w:t xml:space="preserve">“Random Fluctuations and Validity in Measuring Disease Management Effectiveness for Small Populations” </w:t>
      </w:r>
      <w:r w:rsidRPr="00F44767">
        <w:rPr>
          <w:rFonts w:cs="Calibri"/>
          <w:i/>
          <w:sz w:val="20"/>
          <w:szCs w:val="20"/>
        </w:rPr>
        <w:t>Population Health Management</w:t>
      </w:r>
      <w:r w:rsidRPr="00F44767">
        <w:rPr>
          <w:rFonts w:cs="Calibri"/>
          <w:sz w:val="20"/>
          <w:szCs w:val="20"/>
        </w:rPr>
        <w:t xml:space="preserve"> December 2008.  </w:t>
      </w:r>
    </w:p>
    <w:p w14:paraId="5677B604" w14:textId="77777777" w:rsidR="005801E1" w:rsidRPr="00267109" w:rsidRDefault="005801E1" w:rsidP="005801E1">
      <w:pPr>
        <w:pStyle w:val="ListParagraph"/>
        <w:numPr>
          <w:ilvl w:val="0"/>
          <w:numId w:val="1"/>
        </w:numPr>
        <w:rPr>
          <w:rFonts w:cs="Calibri"/>
          <w:color w:val="000000"/>
          <w:sz w:val="20"/>
          <w:szCs w:val="20"/>
        </w:rPr>
      </w:pPr>
      <w:r w:rsidRPr="00267109">
        <w:rPr>
          <w:rFonts w:cs="Calibri"/>
          <w:i/>
          <w:sz w:val="20"/>
          <w:szCs w:val="20"/>
        </w:rPr>
        <w:t>Managing and Evaluating Healthcare Intervention Programs</w:t>
      </w:r>
      <w:r w:rsidRPr="00267109">
        <w:rPr>
          <w:rFonts w:cs="Calibri"/>
          <w:sz w:val="20"/>
          <w:szCs w:val="20"/>
        </w:rPr>
        <w:t xml:space="preserve">.  </w:t>
      </w:r>
      <w:r>
        <w:rPr>
          <w:rFonts w:cs="Calibri"/>
          <w:sz w:val="20"/>
          <w:szCs w:val="20"/>
        </w:rPr>
        <w:t>(1</w:t>
      </w:r>
      <w:r w:rsidRPr="00340E38">
        <w:rPr>
          <w:rFonts w:cs="Calibri"/>
          <w:sz w:val="20"/>
          <w:szCs w:val="20"/>
          <w:vertAlign w:val="superscript"/>
        </w:rPr>
        <w:t>st</w:t>
      </w:r>
      <w:r>
        <w:rPr>
          <w:rFonts w:cs="Calibri"/>
          <w:sz w:val="20"/>
          <w:szCs w:val="20"/>
        </w:rPr>
        <w:t xml:space="preserve"> Edition) </w:t>
      </w:r>
      <w:r w:rsidRPr="00267109">
        <w:rPr>
          <w:rFonts w:cs="Calibri"/>
          <w:sz w:val="20"/>
          <w:szCs w:val="20"/>
        </w:rPr>
        <w:t xml:space="preserve">Actex Publications, 2008.  </w:t>
      </w:r>
    </w:p>
    <w:p w14:paraId="498E9676" w14:textId="77777777" w:rsidR="005801E1" w:rsidRPr="00F44767" w:rsidRDefault="005801E1" w:rsidP="005801E1">
      <w:pPr>
        <w:pStyle w:val="ListParagraph"/>
        <w:numPr>
          <w:ilvl w:val="0"/>
          <w:numId w:val="1"/>
        </w:numPr>
        <w:rPr>
          <w:rFonts w:cs="Calibri"/>
          <w:color w:val="000000"/>
          <w:sz w:val="20"/>
          <w:szCs w:val="20"/>
        </w:rPr>
      </w:pPr>
      <w:r w:rsidRPr="009F205F">
        <w:rPr>
          <w:rFonts w:cs="Calibri"/>
          <w:color w:val="000000"/>
          <w:sz w:val="20"/>
          <w:szCs w:val="20"/>
        </w:rPr>
        <w:lastRenderedPageBreak/>
        <w:t xml:space="preserve">Duncan I, </w:t>
      </w:r>
      <w:proofErr w:type="spellStart"/>
      <w:r w:rsidRPr="009F205F">
        <w:rPr>
          <w:rFonts w:cs="Calibri"/>
          <w:color w:val="000000"/>
          <w:sz w:val="20"/>
          <w:szCs w:val="20"/>
        </w:rPr>
        <w:t>Lodh</w:t>
      </w:r>
      <w:proofErr w:type="spellEnd"/>
      <w:r w:rsidRPr="009F205F">
        <w:rPr>
          <w:rFonts w:cs="Calibri"/>
          <w:color w:val="000000"/>
          <w:sz w:val="20"/>
          <w:szCs w:val="20"/>
        </w:rPr>
        <w:t xml:space="preserve">, M, Berg, G, and Mattingly, D </w:t>
      </w:r>
      <w:r w:rsidRPr="00F44767">
        <w:rPr>
          <w:rFonts w:cs="Calibri"/>
          <w:color w:val="000000"/>
          <w:sz w:val="20"/>
          <w:szCs w:val="20"/>
        </w:rPr>
        <w:t xml:space="preserve">“Understanding Patient Risk and its Impact on Chronic and Non-Chronic Member Trends.”  </w:t>
      </w:r>
      <w:r w:rsidRPr="00F44767">
        <w:rPr>
          <w:rFonts w:cs="Calibri"/>
          <w:i/>
          <w:sz w:val="20"/>
          <w:szCs w:val="20"/>
        </w:rPr>
        <w:t>Population Health Management</w:t>
      </w:r>
      <w:r w:rsidRPr="00F44767">
        <w:rPr>
          <w:rFonts w:cs="Calibri"/>
          <w:sz w:val="20"/>
          <w:szCs w:val="20"/>
        </w:rPr>
        <w:t xml:space="preserve">, October 2008.  </w:t>
      </w:r>
    </w:p>
    <w:p w14:paraId="6EF88A37" w14:textId="77777777" w:rsidR="005801E1" w:rsidRPr="00F44767" w:rsidRDefault="005801E1" w:rsidP="005801E1">
      <w:pPr>
        <w:pStyle w:val="ListParagraph"/>
        <w:numPr>
          <w:ilvl w:val="0"/>
          <w:numId w:val="1"/>
        </w:numPr>
        <w:rPr>
          <w:rFonts w:cs="Calibri"/>
          <w:color w:val="000000"/>
          <w:sz w:val="20"/>
          <w:szCs w:val="20"/>
        </w:rPr>
      </w:pPr>
      <w:r w:rsidRPr="00F44767">
        <w:rPr>
          <w:rFonts w:cs="Calibri"/>
          <w:sz w:val="20"/>
          <w:szCs w:val="20"/>
        </w:rPr>
        <w:t xml:space="preserve">Duncan I, Bachler R and Juster I. “A Comparative Analysis of Chronic and Non-Chronic Insured Commercial Member Cost </w:t>
      </w:r>
      <w:proofErr w:type="gramStart"/>
      <w:r w:rsidRPr="00F44767">
        <w:rPr>
          <w:rFonts w:cs="Calibri"/>
          <w:sz w:val="20"/>
          <w:szCs w:val="20"/>
        </w:rPr>
        <w:t xml:space="preserve">Trends”  </w:t>
      </w:r>
      <w:r w:rsidRPr="00F44767">
        <w:rPr>
          <w:rFonts w:cs="Calibri"/>
          <w:i/>
          <w:sz w:val="20"/>
          <w:szCs w:val="20"/>
        </w:rPr>
        <w:t>North</w:t>
      </w:r>
      <w:proofErr w:type="gramEnd"/>
      <w:r w:rsidRPr="00F44767">
        <w:rPr>
          <w:rFonts w:cs="Calibri"/>
          <w:i/>
          <w:sz w:val="20"/>
          <w:szCs w:val="20"/>
        </w:rPr>
        <w:t xml:space="preserve"> American Actuarial Journal</w:t>
      </w:r>
      <w:r w:rsidRPr="00F44767">
        <w:rPr>
          <w:rFonts w:cs="Calibri"/>
          <w:sz w:val="20"/>
          <w:szCs w:val="20"/>
        </w:rPr>
        <w:t xml:space="preserve"> 10 (4) October 2006.    Winner of the DMAA prize for best published article in 2006.    </w:t>
      </w:r>
    </w:p>
    <w:p w14:paraId="4FDB4835" w14:textId="77777777" w:rsidR="005801E1" w:rsidRPr="006E033D" w:rsidRDefault="005801E1" w:rsidP="005801E1">
      <w:pPr>
        <w:pStyle w:val="ListParagraph"/>
        <w:numPr>
          <w:ilvl w:val="0"/>
          <w:numId w:val="1"/>
        </w:numPr>
        <w:spacing w:after="0" w:line="240" w:lineRule="auto"/>
        <w:rPr>
          <w:rFonts w:cs="Calibri"/>
          <w:color w:val="000000"/>
          <w:sz w:val="20"/>
          <w:szCs w:val="20"/>
        </w:rPr>
      </w:pPr>
      <w:r w:rsidRPr="00F44767">
        <w:rPr>
          <w:rFonts w:cs="Calibri"/>
          <w:bCs/>
          <w:sz w:val="20"/>
          <w:szCs w:val="20"/>
        </w:rPr>
        <w:t>Duncan I.  "Care And Disease Management: An Actuarial Response"</w:t>
      </w:r>
      <w:r w:rsidRPr="00F44767">
        <w:rPr>
          <w:rFonts w:cs="Calibri"/>
          <w:sz w:val="20"/>
          <w:szCs w:val="20"/>
        </w:rPr>
        <w:t>.   Benefits &amp; Compensation Digest, 42 (8) August 2005.</w:t>
      </w:r>
    </w:p>
    <w:p w14:paraId="2A6DE635" w14:textId="77777777" w:rsidR="005801E1" w:rsidRPr="009A064C" w:rsidRDefault="005801E1" w:rsidP="005801E1">
      <w:pPr>
        <w:pStyle w:val="qj-ae"/>
        <w:numPr>
          <w:ilvl w:val="0"/>
          <w:numId w:val="1"/>
        </w:numPr>
        <w:spacing w:before="0" w:beforeAutospacing="0" w:after="0" w:afterAutospacing="0"/>
        <w:rPr>
          <w:rStyle w:val="br"/>
          <w:rFonts w:ascii="Calibri" w:hAnsi="Calibri" w:cs="Calibri"/>
          <w:sz w:val="20"/>
          <w:szCs w:val="20"/>
        </w:rPr>
      </w:pPr>
      <w:r w:rsidRPr="009A064C">
        <w:rPr>
          <w:rFonts w:ascii="Calibri" w:hAnsi="Calibri" w:cs="Calibri"/>
          <w:bCs/>
          <w:sz w:val="20"/>
          <w:szCs w:val="20"/>
        </w:rPr>
        <w:t>Duncan I.  “</w:t>
      </w:r>
      <w:r w:rsidRPr="009A064C">
        <w:rPr>
          <w:rFonts w:ascii="Calibri" w:hAnsi="Calibri" w:cs="Calibri"/>
          <w:sz w:val="20"/>
          <w:szCs w:val="20"/>
        </w:rPr>
        <w:t>Accuracy in the assessment of return on investment of defined population interventions.”</w:t>
      </w:r>
      <w:r w:rsidRPr="009A064C">
        <w:rPr>
          <w:rStyle w:val="br"/>
          <w:rFonts w:ascii="Calibri" w:hAnsi="Calibri" w:cs="Calibri"/>
          <w:sz w:val="20"/>
          <w:szCs w:val="20"/>
        </w:rPr>
        <w:t xml:space="preserve"> </w:t>
      </w:r>
      <w:hyperlink r:id="rId21" w:history="1">
        <w:r w:rsidRPr="00E639E2">
          <w:rPr>
            <w:rStyle w:val="Hyperlink"/>
            <w:rFonts w:ascii="Calibri" w:hAnsi="Calibri" w:cs="Calibri"/>
            <w:i/>
            <w:color w:val="auto"/>
            <w:sz w:val="20"/>
            <w:szCs w:val="20"/>
            <w:u w:val="none"/>
          </w:rPr>
          <w:t>Joint Commission journal on quality and patient safety.   Joint Commission Resources</w:t>
        </w:r>
      </w:hyperlink>
      <w:r w:rsidRPr="00E639E2">
        <w:rPr>
          <w:rStyle w:val="br"/>
          <w:rFonts w:ascii="Calibri" w:hAnsi="Calibri" w:cs="Calibri"/>
          <w:sz w:val="20"/>
          <w:szCs w:val="20"/>
        </w:rPr>
        <w:t>.2005 Jun;31(6): 357; auth</w:t>
      </w:r>
      <w:r w:rsidRPr="009A064C">
        <w:rPr>
          <w:rStyle w:val="br"/>
          <w:rFonts w:ascii="Calibri" w:hAnsi="Calibri" w:cs="Calibri"/>
          <w:sz w:val="20"/>
          <w:szCs w:val="20"/>
        </w:rPr>
        <w:t>or reply 358.</w:t>
      </w:r>
    </w:p>
    <w:p w14:paraId="552547A2" w14:textId="77777777" w:rsidR="005801E1" w:rsidRPr="006E033D" w:rsidRDefault="005801E1" w:rsidP="005801E1">
      <w:pPr>
        <w:pStyle w:val="ListParagraph"/>
        <w:numPr>
          <w:ilvl w:val="0"/>
          <w:numId w:val="1"/>
        </w:numPr>
        <w:spacing w:after="0" w:line="240" w:lineRule="auto"/>
        <w:rPr>
          <w:rFonts w:cs="Calibri"/>
          <w:color w:val="000000"/>
          <w:sz w:val="20"/>
          <w:szCs w:val="20"/>
        </w:rPr>
      </w:pPr>
      <w:r w:rsidRPr="00F44767">
        <w:rPr>
          <w:rFonts w:cs="Calibri"/>
          <w:sz w:val="20"/>
          <w:szCs w:val="20"/>
        </w:rPr>
        <w:t xml:space="preserve">Author, Society of Actuaries Part 8 Examination Study Note on Care Management evaluation.  </w:t>
      </w:r>
    </w:p>
    <w:p w14:paraId="55BFD831" w14:textId="77777777" w:rsidR="005801E1" w:rsidRPr="009F205F" w:rsidRDefault="005801E1" w:rsidP="005801E1">
      <w:pPr>
        <w:numPr>
          <w:ilvl w:val="0"/>
          <w:numId w:val="1"/>
        </w:numPr>
        <w:spacing w:after="0" w:line="240" w:lineRule="auto"/>
        <w:rPr>
          <w:rFonts w:ascii="Calibri" w:hAnsi="Calibri" w:cs="Calibri"/>
          <w:sz w:val="20"/>
          <w:szCs w:val="20"/>
        </w:rPr>
      </w:pPr>
      <w:r w:rsidRPr="00F44767">
        <w:rPr>
          <w:rFonts w:ascii="Calibri" w:hAnsi="Calibri" w:cs="Calibri"/>
          <w:bCs/>
          <w:sz w:val="20"/>
          <w:szCs w:val="20"/>
        </w:rPr>
        <w:t>"Measurement of ROI/Effectiveness of Medical Management Processes"</w:t>
      </w:r>
      <w:r w:rsidRPr="00F44767">
        <w:rPr>
          <w:rFonts w:ascii="Calibri" w:hAnsi="Calibri" w:cs="Calibri"/>
          <w:sz w:val="20"/>
          <w:szCs w:val="20"/>
        </w:rPr>
        <w:t xml:space="preserve">. Record, Society of Actuaries, Volume 30, (1). </w:t>
      </w:r>
      <w:hyperlink r:id="rId22" w:history="1">
        <w:r w:rsidRPr="00F44767">
          <w:rPr>
            <w:rStyle w:val="Hyperlink"/>
            <w:rFonts w:ascii="Calibri" w:hAnsi="Calibri" w:cs="Calibri"/>
            <w:sz w:val="20"/>
            <w:szCs w:val="20"/>
          </w:rPr>
          <w:t>http://library.soa.org/library-pdf/rsa04v30n1111of.pdf</w:t>
        </w:r>
      </w:hyperlink>
      <w:r w:rsidRPr="00F44767">
        <w:rPr>
          <w:rFonts w:ascii="Calibri" w:hAnsi="Calibri" w:cs="Calibri"/>
          <w:sz w:val="20"/>
          <w:szCs w:val="20"/>
        </w:rPr>
        <w:t xml:space="preserve"> </w:t>
      </w:r>
    </w:p>
    <w:p w14:paraId="3BD5B9D3" w14:textId="77777777" w:rsidR="005801E1" w:rsidRDefault="005801E1" w:rsidP="005801E1">
      <w:pPr>
        <w:numPr>
          <w:ilvl w:val="0"/>
          <w:numId w:val="1"/>
        </w:numPr>
        <w:spacing w:after="0" w:line="240" w:lineRule="auto"/>
        <w:rPr>
          <w:rFonts w:ascii="Calibri" w:hAnsi="Calibri" w:cs="Calibri"/>
          <w:sz w:val="20"/>
          <w:szCs w:val="20"/>
        </w:rPr>
      </w:pPr>
      <w:r w:rsidRPr="00F44767">
        <w:rPr>
          <w:rFonts w:ascii="Calibri" w:hAnsi="Calibri" w:cs="Calibri"/>
          <w:bCs/>
          <w:sz w:val="20"/>
          <w:szCs w:val="20"/>
        </w:rPr>
        <w:t>"Evaluating the Results of Care Management Interventions: Comparative Analysis of Different Outcomes Measures"</w:t>
      </w:r>
      <w:r w:rsidRPr="00F44767">
        <w:rPr>
          <w:rFonts w:ascii="Calibri" w:hAnsi="Calibri" w:cs="Calibri"/>
          <w:sz w:val="20"/>
          <w:szCs w:val="20"/>
        </w:rPr>
        <w:t xml:space="preserve"> by Henry Dove, Ph.D. and Ian Duncan, FSA, MAAA.  Research sponsored by the Society of Actuaries Health Section.  Available </w:t>
      </w:r>
      <w:proofErr w:type="gramStart"/>
      <w:r w:rsidRPr="00F44767">
        <w:rPr>
          <w:rFonts w:ascii="Calibri" w:hAnsi="Calibri" w:cs="Calibri"/>
          <w:sz w:val="20"/>
          <w:szCs w:val="20"/>
        </w:rPr>
        <w:t>at :</w:t>
      </w:r>
      <w:proofErr w:type="gramEnd"/>
      <w:r w:rsidRPr="00F44767">
        <w:rPr>
          <w:rFonts w:ascii="Calibri" w:hAnsi="Calibri" w:cs="Calibri"/>
          <w:sz w:val="20"/>
          <w:szCs w:val="20"/>
        </w:rPr>
        <w:t xml:space="preserve"> </w:t>
      </w:r>
      <w:hyperlink r:id="rId23" w:history="1">
        <w:r w:rsidRPr="00F44767">
          <w:rPr>
            <w:rStyle w:val="Hyperlink"/>
            <w:rFonts w:ascii="Calibri" w:hAnsi="Calibri" w:cs="Calibri"/>
            <w:sz w:val="20"/>
            <w:szCs w:val="20"/>
          </w:rPr>
          <w:t>http://www.soa.org/ccm/content/?categoryID=327001</w:t>
        </w:r>
      </w:hyperlink>
      <w:r w:rsidRPr="00F44767">
        <w:rPr>
          <w:rFonts w:ascii="Calibri" w:hAnsi="Calibri" w:cs="Calibri"/>
          <w:sz w:val="20"/>
          <w:szCs w:val="20"/>
        </w:rPr>
        <w:t xml:space="preserve"> </w:t>
      </w:r>
    </w:p>
    <w:p w14:paraId="1146AE52" w14:textId="77777777" w:rsidR="005801E1" w:rsidRPr="009F205F" w:rsidRDefault="005801E1" w:rsidP="005801E1">
      <w:pPr>
        <w:numPr>
          <w:ilvl w:val="0"/>
          <w:numId w:val="1"/>
        </w:numPr>
        <w:spacing w:after="0" w:line="240" w:lineRule="auto"/>
        <w:rPr>
          <w:rFonts w:ascii="Calibri" w:hAnsi="Calibri" w:cs="Calibri"/>
          <w:sz w:val="20"/>
          <w:szCs w:val="20"/>
        </w:rPr>
      </w:pPr>
      <w:r w:rsidRPr="00F44767">
        <w:rPr>
          <w:rFonts w:ascii="Calibri" w:hAnsi="Calibri" w:cs="Calibri"/>
          <w:sz w:val="20"/>
          <w:szCs w:val="20"/>
        </w:rPr>
        <w:t xml:space="preserve"> “</w:t>
      </w:r>
      <w:proofErr w:type="spellStart"/>
      <w:r w:rsidRPr="00F44767">
        <w:rPr>
          <w:rFonts w:ascii="Calibri" w:hAnsi="Calibri" w:cs="Calibri"/>
          <w:sz w:val="20"/>
          <w:szCs w:val="20"/>
        </w:rPr>
        <w:t>Its</w:t>
      </w:r>
      <w:proofErr w:type="spellEnd"/>
      <w:r w:rsidRPr="00F44767">
        <w:rPr>
          <w:rFonts w:ascii="Calibri" w:hAnsi="Calibri" w:cs="Calibri"/>
          <w:sz w:val="20"/>
          <w:szCs w:val="20"/>
        </w:rPr>
        <w:t xml:space="preserve"> time for the industry to move on from ROI”, </w:t>
      </w:r>
      <w:r w:rsidRPr="00140473">
        <w:rPr>
          <w:rFonts w:ascii="Calibri" w:hAnsi="Calibri" w:cs="Calibri"/>
          <w:i/>
          <w:sz w:val="20"/>
          <w:szCs w:val="20"/>
        </w:rPr>
        <w:t>Disease Management</w:t>
      </w:r>
      <w:r w:rsidRPr="00F44767">
        <w:rPr>
          <w:rFonts w:ascii="Calibri" w:hAnsi="Calibri" w:cs="Calibri"/>
          <w:sz w:val="20"/>
          <w:szCs w:val="20"/>
        </w:rPr>
        <w:t xml:space="preserve">, (Vol. 7 (3) </w:t>
      </w:r>
      <w:proofErr w:type="gramStart"/>
      <w:r w:rsidRPr="00F44767">
        <w:rPr>
          <w:rFonts w:ascii="Calibri" w:hAnsi="Calibri" w:cs="Calibri"/>
          <w:sz w:val="20"/>
          <w:szCs w:val="20"/>
        </w:rPr>
        <w:t>October,</w:t>
      </w:r>
      <w:proofErr w:type="gramEnd"/>
      <w:r w:rsidRPr="00F44767">
        <w:rPr>
          <w:rFonts w:ascii="Calibri" w:hAnsi="Calibri" w:cs="Calibri"/>
          <w:sz w:val="20"/>
          <w:szCs w:val="20"/>
        </w:rPr>
        <w:t xml:space="preserve"> 2004).  </w:t>
      </w:r>
    </w:p>
    <w:p w14:paraId="5F9A2B05" w14:textId="77777777" w:rsidR="005801E1" w:rsidRPr="009F205F" w:rsidRDefault="005801E1" w:rsidP="005801E1">
      <w:pPr>
        <w:numPr>
          <w:ilvl w:val="0"/>
          <w:numId w:val="1"/>
        </w:numPr>
        <w:spacing w:after="0" w:line="240" w:lineRule="auto"/>
        <w:rPr>
          <w:rFonts w:ascii="Calibri" w:hAnsi="Calibri" w:cs="Calibri"/>
          <w:sz w:val="20"/>
          <w:szCs w:val="20"/>
        </w:rPr>
      </w:pPr>
      <w:r w:rsidRPr="00F44767">
        <w:rPr>
          <w:rFonts w:ascii="Calibri" w:hAnsi="Calibri" w:cs="Calibri"/>
          <w:sz w:val="20"/>
          <w:szCs w:val="20"/>
        </w:rPr>
        <w:t>“New Strategies in Disease and Utilization Management: Substituting Facts for Assumptions” Record, Society of Actuaries, 29(2) June 2003.</w:t>
      </w:r>
    </w:p>
    <w:p w14:paraId="3871579A" w14:textId="77777777" w:rsidR="005801E1" w:rsidRPr="009F205F" w:rsidRDefault="005801E1" w:rsidP="005801E1">
      <w:pPr>
        <w:numPr>
          <w:ilvl w:val="0"/>
          <w:numId w:val="1"/>
        </w:numPr>
        <w:spacing w:after="0" w:line="240" w:lineRule="auto"/>
        <w:rPr>
          <w:rFonts w:ascii="Calibri" w:hAnsi="Calibri" w:cs="Calibri"/>
          <w:sz w:val="20"/>
          <w:szCs w:val="20"/>
        </w:rPr>
      </w:pPr>
      <w:r w:rsidRPr="00F44767">
        <w:rPr>
          <w:rFonts w:ascii="Calibri" w:hAnsi="Calibri" w:cs="Calibri"/>
          <w:sz w:val="20"/>
          <w:szCs w:val="20"/>
        </w:rPr>
        <w:t>Duncan I, Dove H and Robb, A. “A prediction model for targeting low-cost, high-risk members</w:t>
      </w:r>
      <w:r>
        <w:rPr>
          <w:rFonts w:ascii="Calibri" w:hAnsi="Calibri" w:cs="Calibri"/>
          <w:sz w:val="20"/>
          <w:szCs w:val="20"/>
        </w:rPr>
        <w:t xml:space="preserve"> of managed care organizations"</w:t>
      </w:r>
      <w:r w:rsidRPr="00F44767">
        <w:rPr>
          <w:rFonts w:ascii="Calibri" w:hAnsi="Calibri" w:cs="Calibri"/>
          <w:sz w:val="20"/>
          <w:szCs w:val="20"/>
        </w:rPr>
        <w:t xml:space="preserve"> Am. J. </w:t>
      </w:r>
      <w:proofErr w:type="spellStart"/>
      <w:r w:rsidRPr="00F44767">
        <w:rPr>
          <w:rFonts w:ascii="Calibri" w:hAnsi="Calibri" w:cs="Calibri"/>
          <w:sz w:val="20"/>
          <w:szCs w:val="20"/>
        </w:rPr>
        <w:t>Mgd</w:t>
      </w:r>
      <w:proofErr w:type="spellEnd"/>
      <w:r w:rsidRPr="00F44767">
        <w:rPr>
          <w:rFonts w:ascii="Calibri" w:hAnsi="Calibri" w:cs="Calibri"/>
          <w:sz w:val="20"/>
          <w:szCs w:val="20"/>
        </w:rPr>
        <w:t xml:space="preserve">. Care, May 2003.   (Winner of the DMAA Prize for the best published article in 2003).   </w:t>
      </w:r>
    </w:p>
    <w:p w14:paraId="6F3A814A" w14:textId="6459E154" w:rsidR="005801E1" w:rsidRPr="009F205F" w:rsidRDefault="005801E1" w:rsidP="005801E1">
      <w:pPr>
        <w:numPr>
          <w:ilvl w:val="0"/>
          <w:numId w:val="1"/>
        </w:numPr>
        <w:spacing w:after="0" w:line="240" w:lineRule="auto"/>
        <w:rPr>
          <w:rFonts w:ascii="Calibri" w:hAnsi="Calibri" w:cs="Calibri"/>
          <w:sz w:val="20"/>
          <w:szCs w:val="20"/>
        </w:rPr>
      </w:pPr>
      <w:r w:rsidRPr="00F44767">
        <w:rPr>
          <w:rFonts w:ascii="Calibri" w:hAnsi="Calibri" w:cs="Calibri"/>
          <w:sz w:val="20"/>
          <w:szCs w:val="20"/>
        </w:rPr>
        <w:t xml:space="preserve">“Population Risk Management” Health Section News, Society of Actuaries. </w:t>
      </w:r>
      <w:proofErr w:type="gramStart"/>
      <w:r w:rsidRPr="00F44767">
        <w:rPr>
          <w:rFonts w:ascii="Calibri" w:hAnsi="Calibri" w:cs="Calibri"/>
          <w:sz w:val="20"/>
          <w:szCs w:val="20"/>
        </w:rPr>
        <w:t>June,</w:t>
      </w:r>
      <w:proofErr w:type="gramEnd"/>
      <w:r w:rsidRPr="00F44767">
        <w:rPr>
          <w:rFonts w:ascii="Calibri" w:hAnsi="Calibri" w:cs="Calibri"/>
          <w:sz w:val="20"/>
          <w:szCs w:val="20"/>
        </w:rPr>
        <w:t xml:space="preserve"> 2002. </w:t>
      </w:r>
    </w:p>
    <w:p w14:paraId="425864C3" w14:textId="541E57EB" w:rsidR="00006BC3" w:rsidRDefault="00006BC3" w:rsidP="00006BC3">
      <w:pPr>
        <w:spacing w:after="0" w:line="240" w:lineRule="auto"/>
        <w:rPr>
          <w:rFonts w:ascii="Calibri" w:hAnsi="Calibri" w:cs="Calibri"/>
          <w:sz w:val="20"/>
          <w:szCs w:val="20"/>
        </w:rPr>
      </w:pPr>
    </w:p>
    <w:p w14:paraId="456EF88D" w14:textId="47868460" w:rsidR="00663907" w:rsidRDefault="00DB3465" w:rsidP="005801E1">
      <w:pPr>
        <w:rPr>
          <w:b/>
          <w:bCs/>
        </w:rPr>
      </w:pPr>
      <w:r>
        <w:rPr>
          <w:b/>
          <w:bCs/>
        </w:rPr>
        <w:t>Books and Book Chapters</w:t>
      </w:r>
    </w:p>
    <w:p w14:paraId="27A9DF7B" w14:textId="31DF5DCC" w:rsidR="00DA392A" w:rsidRDefault="00DA392A" w:rsidP="002427E7">
      <w:pPr>
        <w:pStyle w:val="ListParagraph"/>
        <w:numPr>
          <w:ilvl w:val="0"/>
          <w:numId w:val="1"/>
        </w:numPr>
        <w:shd w:val="clear" w:color="auto" w:fill="FFFFFF"/>
        <w:outlineLvl w:val="0"/>
        <w:rPr>
          <w:rFonts w:cstheme="minorHAnsi"/>
          <w:sz w:val="20"/>
          <w:szCs w:val="20"/>
        </w:rPr>
      </w:pPr>
      <w:r>
        <w:rPr>
          <w:rFonts w:cstheme="minorHAnsi"/>
          <w:sz w:val="20"/>
          <w:szCs w:val="20"/>
        </w:rPr>
        <w:t xml:space="preserve">Duncan I PhD FSA MAAA </w:t>
      </w:r>
      <w:r w:rsidR="00CD49FF">
        <w:rPr>
          <w:rFonts w:cstheme="minorHAnsi"/>
          <w:sz w:val="20"/>
          <w:szCs w:val="20"/>
        </w:rPr>
        <w:t xml:space="preserve">Mejia Becerra JD MS and </w:t>
      </w:r>
      <w:r w:rsidR="00BB3DCA">
        <w:rPr>
          <w:rFonts w:cstheme="minorHAnsi"/>
          <w:sz w:val="20"/>
          <w:szCs w:val="20"/>
        </w:rPr>
        <w:t xml:space="preserve">Yu J MS </w:t>
      </w:r>
      <w:r w:rsidR="008B0DE9">
        <w:rPr>
          <w:rFonts w:cstheme="minorHAnsi"/>
          <w:sz w:val="20"/>
          <w:szCs w:val="20"/>
        </w:rPr>
        <w:t>“</w:t>
      </w:r>
      <w:r w:rsidR="008B0DE9" w:rsidRPr="008B0DE9">
        <w:rPr>
          <w:rFonts w:cstheme="minorHAnsi"/>
          <w:sz w:val="20"/>
          <w:szCs w:val="20"/>
        </w:rPr>
        <w:t>What Benefits Drive Membership in Medicare Advantage Plans?</w:t>
      </w:r>
      <w:r w:rsidR="008B0DE9">
        <w:rPr>
          <w:rFonts w:cstheme="minorHAnsi"/>
          <w:sz w:val="20"/>
          <w:szCs w:val="20"/>
        </w:rPr>
        <w:t xml:space="preserve">” </w:t>
      </w:r>
      <w:r w:rsidR="00BB3DCA">
        <w:rPr>
          <w:rFonts w:cstheme="minorHAnsi"/>
          <w:sz w:val="20"/>
          <w:szCs w:val="20"/>
        </w:rPr>
        <w:t xml:space="preserve"> </w:t>
      </w:r>
      <w:r w:rsidR="0030637D">
        <w:rPr>
          <w:rFonts w:cstheme="minorHAnsi"/>
          <w:sz w:val="20"/>
          <w:szCs w:val="20"/>
        </w:rPr>
        <w:t xml:space="preserve">in </w:t>
      </w:r>
      <w:r w:rsidR="008B0DE9">
        <w:rPr>
          <w:rFonts w:cstheme="minorHAnsi"/>
          <w:sz w:val="20"/>
          <w:szCs w:val="20"/>
        </w:rPr>
        <w:t>“</w:t>
      </w:r>
      <w:r w:rsidR="0030637D" w:rsidRPr="0030637D">
        <w:rPr>
          <w:rFonts w:cstheme="minorHAnsi"/>
          <w:sz w:val="20"/>
          <w:szCs w:val="20"/>
        </w:rPr>
        <w:t xml:space="preserve">An Invitation to Undergraduate Research in Risk Management - Actuarial Science, Mathematical Finance, and Sports </w:t>
      </w:r>
      <w:proofErr w:type="gramStart"/>
      <w:r w:rsidR="0030637D" w:rsidRPr="0030637D">
        <w:rPr>
          <w:rFonts w:cstheme="minorHAnsi"/>
          <w:sz w:val="20"/>
          <w:szCs w:val="20"/>
        </w:rPr>
        <w:t>Analytic</w:t>
      </w:r>
      <w:r w:rsidR="0030637D">
        <w:rPr>
          <w:rFonts w:cstheme="minorHAnsi"/>
          <w:sz w:val="20"/>
          <w:szCs w:val="20"/>
        </w:rPr>
        <w:t>s</w:t>
      </w:r>
      <w:r w:rsidR="008B0DE9">
        <w:rPr>
          <w:rFonts w:cstheme="minorHAnsi"/>
          <w:sz w:val="20"/>
          <w:szCs w:val="20"/>
        </w:rPr>
        <w:t xml:space="preserve">”   </w:t>
      </w:r>
      <w:proofErr w:type="gramEnd"/>
      <w:r w:rsidR="00C33093">
        <w:rPr>
          <w:rFonts w:cstheme="minorHAnsi"/>
          <w:sz w:val="20"/>
          <w:szCs w:val="20"/>
        </w:rPr>
        <w:t xml:space="preserve">A. </w:t>
      </w:r>
      <w:r w:rsidR="008B0DE9">
        <w:rPr>
          <w:rFonts w:cstheme="minorHAnsi"/>
          <w:sz w:val="20"/>
          <w:szCs w:val="20"/>
        </w:rPr>
        <w:t xml:space="preserve">Cohen and </w:t>
      </w:r>
      <w:r w:rsidR="00C33093">
        <w:rPr>
          <w:rFonts w:cstheme="minorHAnsi"/>
          <w:sz w:val="20"/>
          <w:szCs w:val="20"/>
        </w:rPr>
        <w:t xml:space="preserve">S-H </w:t>
      </w:r>
      <w:r w:rsidR="008B0DE9">
        <w:rPr>
          <w:rFonts w:cstheme="minorHAnsi"/>
          <w:sz w:val="20"/>
          <w:szCs w:val="20"/>
        </w:rPr>
        <w:t>Loke (eds.)</w:t>
      </w:r>
      <w:r w:rsidR="0030637D">
        <w:rPr>
          <w:rFonts w:cstheme="minorHAnsi"/>
          <w:sz w:val="20"/>
          <w:szCs w:val="20"/>
        </w:rPr>
        <w:t xml:space="preserve">  (</w:t>
      </w:r>
      <w:r w:rsidR="0030637D" w:rsidRPr="0030637D">
        <w:rPr>
          <w:rFonts w:cstheme="minorHAnsi"/>
          <w:i/>
          <w:iCs/>
          <w:sz w:val="20"/>
          <w:szCs w:val="20"/>
        </w:rPr>
        <w:t>Sp</w:t>
      </w:r>
      <w:r w:rsidR="0030637D">
        <w:rPr>
          <w:rFonts w:cstheme="minorHAnsi"/>
          <w:i/>
          <w:iCs/>
          <w:sz w:val="20"/>
          <w:szCs w:val="20"/>
        </w:rPr>
        <w:t>r</w:t>
      </w:r>
      <w:r w:rsidR="0030637D" w:rsidRPr="0030637D">
        <w:rPr>
          <w:rFonts w:cstheme="minorHAnsi"/>
          <w:i/>
          <w:iCs/>
          <w:sz w:val="20"/>
          <w:szCs w:val="20"/>
        </w:rPr>
        <w:t>inger Nature</w:t>
      </w:r>
      <w:r w:rsidR="0030637D">
        <w:rPr>
          <w:rFonts w:cstheme="minorHAnsi"/>
          <w:sz w:val="20"/>
          <w:szCs w:val="20"/>
        </w:rPr>
        <w:t xml:space="preserve"> 2025).  </w:t>
      </w:r>
    </w:p>
    <w:p w14:paraId="5838DD63" w14:textId="5954DCDD" w:rsidR="002427E7" w:rsidRDefault="00584E00" w:rsidP="002427E7">
      <w:pPr>
        <w:pStyle w:val="ListParagraph"/>
        <w:numPr>
          <w:ilvl w:val="0"/>
          <w:numId w:val="1"/>
        </w:numPr>
        <w:shd w:val="clear" w:color="auto" w:fill="FFFFFF"/>
        <w:outlineLvl w:val="0"/>
        <w:rPr>
          <w:rFonts w:cstheme="minorHAnsi"/>
          <w:sz w:val="20"/>
          <w:szCs w:val="20"/>
        </w:rPr>
      </w:pPr>
      <w:r>
        <w:rPr>
          <w:rFonts w:cstheme="minorHAnsi"/>
          <w:sz w:val="20"/>
          <w:szCs w:val="20"/>
        </w:rPr>
        <w:t xml:space="preserve">Duncan I PhD FSA MAAA and Ahmed T PhD MBA.  “Predicting High-Need End-of-Life Patients through Machine </w:t>
      </w:r>
      <w:proofErr w:type="gramStart"/>
      <w:r>
        <w:rPr>
          <w:rFonts w:cstheme="minorHAnsi"/>
          <w:sz w:val="20"/>
          <w:szCs w:val="20"/>
        </w:rPr>
        <w:t>Learning”  in</w:t>
      </w:r>
      <w:proofErr w:type="gramEnd"/>
      <w:r>
        <w:rPr>
          <w:rFonts w:cstheme="minorHAnsi"/>
          <w:sz w:val="20"/>
          <w:szCs w:val="20"/>
        </w:rPr>
        <w:t xml:space="preserve"> Palliative Care – Current Practice and Future Perspectives (Bollig and Zelko, eds.  </w:t>
      </w:r>
      <w:r>
        <w:rPr>
          <w:rFonts w:cstheme="minorHAnsi"/>
          <w:i/>
          <w:iCs/>
          <w:sz w:val="20"/>
          <w:szCs w:val="20"/>
        </w:rPr>
        <w:t>Intech Open</w:t>
      </w:r>
      <w:r>
        <w:rPr>
          <w:rFonts w:cstheme="minorHAnsi"/>
          <w:sz w:val="20"/>
          <w:szCs w:val="20"/>
        </w:rPr>
        <w:t>)</w:t>
      </w:r>
    </w:p>
    <w:p w14:paraId="278B8D5F" w14:textId="15CF994D" w:rsidR="0085728D" w:rsidRPr="002427E7" w:rsidRDefault="00DB3465" w:rsidP="002427E7">
      <w:pPr>
        <w:pStyle w:val="ListParagraph"/>
        <w:numPr>
          <w:ilvl w:val="0"/>
          <w:numId w:val="1"/>
        </w:numPr>
        <w:shd w:val="clear" w:color="auto" w:fill="FFFFFF"/>
        <w:outlineLvl w:val="0"/>
        <w:rPr>
          <w:rFonts w:cstheme="minorHAnsi"/>
          <w:sz w:val="20"/>
          <w:szCs w:val="20"/>
        </w:rPr>
      </w:pPr>
      <w:r w:rsidRPr="002427E7">
        <w:rPr>
          <w:rFonts w:cstheme="minorHAnsi"/>
          <w:sz w:val="20"/>
          <w:szCs w:val="20"/>
        </w:rPr>
        <w:t xml:space="preserve">Duncan I PhD FSA MAAA and Ahmed T PhD MBA.  “A proposed Condition-based Risk Adjustment System for the Colombian Healthcare Program.”  </w:t>
      </w:r>
      <w:r w:rsidRPr="002427E7">
        <w:rPr>
          <w:rFonts w:cstheme="minorHAnsi"/>
          <w:i/>
          <w:iCs/>
          <w:sz w:val="20"/>
          <w:szCs w:val="20"/>
        </w:rPr>
        <w:t>Health Insurance Around Worldwide Health Systems</w:t>
      </w:r>
      <w:r w:rsidRPr="002427E7">
        <w:rPr>
          <w:rFonts w:cstheme="minorHAnsi"/>
          <w:sz w:val="20"/>
          <w:szCs w:val="20"/>
        </w:rPr>
        <w:t xml:space="preserve"> (A.I. Tavares </w:t>
      </w:r>
      <w:r w:rsidRPr="002427E7">
        <w:rPr>
          <w:rFonts w:cstheme="minorHAnsi"/>
          <w:sz w:val="20"/>
          <w:szCs w:val="20"/>
          <w:u w:val="single"/>
        </w:rPr>
        <w:t>ed.</w:t>
      </w:r>
      <w:r w:rsidRPr="002427E7">
        <w:rPr>
          <w:rFonts w:cstheme="minorHAnsi"/>
          <w:sz w:val="20"/>
          <w:szCs w:val="20"/>
        </w:rPr>
        <w:t xml:space="preserve">) IntechOpen.  </w:t>
      </w:r>
      <w:hyperlink r:id="rId24" w:history="1">
        <w:r w:rsidRPr="002427E7">
          <w:rPr>
            <w:rStyle w:val="Hyperlink"/>
            <w:rFonts w:cstheme="minorHAnsi"/>
            <w:sz w:val="20"/>
            <w:szCs w:val="20"/>
          </w:rPr>
          <w:t>https://www.intechopen.com/online-first/1154786</w:t>
        </w:r>
      </w:hyperlink>
    </w:p>
    <w:p w14:paraId="38A9D4AE" w14:textId="353ECDA6" w:rsidR="0085728D" w:rsidRPr="00C33093" w:rsidRDefault="00DB3465" w:rsidP="0085728D">
      <w:pPr>
        <w:pStyle w:val="ListParagraph"/>
        <w:numPr>
          <w:ilvl w:val="0"/>
          <w:numId w:val="1"/>
        </w:numPr>
        <w:shd w:val="clear" w:color="auto" w:fill="FFFFFF"/>
        <w:outlineLvl w:val="0"/>
        <w:rPr>
          <w:rFonts w:cstheme="minorHAnsi"/>
          <w:sz w:val="20"/>
          <w:szCs w:val="20"/>
        </w:rPr>
      </w:pPr>
      <w:r w:rsidRPr="0085728D">
        <w:rPr>
          <w:rFonts w:cstheme="minorHAnsi"/>
          <w:sz w:val="20"/>
          <w:szCs w:val="20"/>
        </w:rPr>
        <w:t>“</w:t>
      </w:r>
      <w:r w:rsidRPr="00C33093">
        <w:rPr>
          <w:rFonts w:cstheme="minorHAnsi"/>
          <w:sz w:val="20"/>
          <w:szCs w:val="20"/>
        </w:rPr>
        <w:t xml:space="preserve">Value-based Contracting in </w:t>
      </w:r>
      <w:proofErr w:type="gramStart"/>
      <w:r w:rsidRPr="00C33093">
        <w:rPr>
          <w:rFonts w:cstheme="minorHAnsi"/>
          <w:sz w:val="20"/>
          <w:szCs w:val="20"/>
        </w:rPr>
        <w:t xml:space="preserve">Healthcare”  </w:t>
      </w:r>
      <w:r w:rsidRPr="00C33093">
        <w:rPr>
          <w:rFonts w:cstheme="minorHAnsi"/>
          <w:i/>
          <w:iCs/>
          <w:sz w:val="20"/>
          <w:szCs w:val="20"/>
        </w:rPr>
        <w:t>Health</w:t>
      </w:r>
      <w:proofErr w:type="gramEnd"/>
      <w:r w:rsidRPr="00C33093">
        <w:rPr>
          <w:rFonts w:cstheme="minorHAnsi"/>
          <w:i/>
          <w:iCs/>
          <w:sz w:val="20"/>
          <w:szCs w:val="20"/>
        </w:rPr>
        <w:t xml:space="preserve"> Insurance</w:t>
      </w:r>
      <w:r w:rsidRPr="00C33093">
        <w:rPr>
          <w:rFonts w:cstheme="minorHAnsi"/>
          <w:sz w:val="20"/>
          <w:szCs w:val="20"/>
        </w:rPr>
        <w:t xml:space="preserve"> (A.I. Tavares </w:t>
      </w:r>
      <w:r w:rsidRPr="00C33093">
        <w:rPr>
          <w:rFonts w:cstheme="minorHAnsi"/>
          <w:sz w:val="20"/>
          <w:szCs w:val="20"/>
          <w:u w:val="single"/>
        </w:rPr>
        <w:t>ed</w:t>
      </w:r>
      <w:r w:rsidRPr="00C33093">
        <w:rPr>
          <w:rFonts w:cstheme="minorHAnsi"/>
          <w:sz w:val="20"/>
          <w:szCs w:val="20"/>
        </w:rPr>
        <w:t xml:space="preserve">.) IntechOpen 2022.  </w:t>
      </w:r>
      <w:r w:rsidR="0085728D" w:rsidRPr="00C33093">
        <w:rPr>
          <w:rFonts w:ascii="Roboto" w:hAnsi="Roboto"/>
          <w:color w:val="525254"/>
          <w:sz w:val="20"/>
          <w:szCs w:val="20"/>
        </w:rPr>
        <w:t>DOI: </w:t>
      </w:r>
      <w:hyperlink r:id="rId25" w:tgtFrame="_blank" w:history="1">
        <w:r w:rsidR="0085728D" w:rsidRPr="00C33093">
          <w:rPr>
            <w:rStyle w:val="Hyperlink"/>
            <w:rFonts w:ascii="inherit" w:hAnsi="inherit"/>
            <w:sz w:val="20"/>
            <w:szCs w:val="20"/>
            <w:bdr w:val="none" w:sz="0" w:space="0" w:color="auto" w:frame="1"/>
          </w:rPr>
          <w:t>10.5772/intechopen.103021</w:t>
        </w:r>
      </w:hyperlink>
    </w:p>
    <w:p w14:paraId="66A86A24" w14:textId="4751BB38" w:rsidR="008A174B" w:rsidRPr="008A174B" w:rsidRDefault="008A174B" w:rsidP="0085728D">
      <w:pPr>
        <w:pStyle w:val="ListParagraph"/>
        <w:numPr>
          <w:ilvl w:val="0"/>
          <w:numId w:val="1"/>
        </w:numPr>
        <w:shd w:val="clear" w:color="auto" w:fill="FFFFFF"/>
        <w:outlineLvl w:val="0"/>
        <w:rPr>
          <w:rFonts w:cstheme="minorHAnsi"/>
          <w:sz w:val="20"/>
          <w:szCs w:val="20"/>
        </w:rPr>
      </w:pPr>
      <w:r w:rsidRPr="008A174B">
        <w:rPr>
          <w:rFonts w:cstheme="minorHAnsi"/>
          <w:i/>
          <w:sz w:val="20"/>
          <w:szCs w:val="20"/>
        </w:rPr>
        <w:t xml:space="preserve">Healthcare Risk Adjustment and Predictive Modeling (2011; </w:t>
      </w:r>
      <w:r w:rsidRPr="008A174B">
        <w:rPr>
          <w:rFonts w:cstheme="minorHAnsi"/>
          <w:iCs/>
          <w:sz w:val="20"/>
          <w:szCs w:val="20"/>
        </w:rPr>
        <w:t>2</w:t>
      </w:r>
      <w:r w:rsidRPr="008A174B">
        <w:rPr>
          <w:rFonts w:cstheme="minorHAnsi"/>
          <w:iCs/>
          <w:sz w:val="20"/>
          <w:szCs w:val="20"/>
          <w:vertAlign w:val="superscript"/>
        </w:rPr>
        <w:t>nd</w:t>
      </w:r>
      <w:r w:rsidRPr="008A174B">
        <w:rPr>
          <w:rFonts w:cstheme="minorHAnsi"/>
          <w:iCs/>
          <w:sz w:val="20"/>
          <w:szCs w:val="20"/>
        </w:rPr>
        <w:t xml:space="preserve"> edition 2018</w:t>
      </w:r>
      <w:r w:rsidRPr="008A174B">
        <w:rPr>
          <w:rFonts w:cstheme="minorHAnsi"/>
          <w:i/>
          <w:sz w:val="20"/>
          <w:szCs w:val="20"/>
        </w:rPr>
        <w:t>)</w:t>
      </w:r>
      <w:r>
        <w:rPr>
          <w:rFonts w:cstheme="minorHAnsi"/>
          <w:i/>
          <w:sz w:val="20"/>
          <w:szCs w:val="20"/>
        </w:rPr>
        <w:t xml:space="preserve"> </w:t>
      </w:r>
      <w:r>
        <w:rPr>
          <w:rFonts w:cstheme="minorHAnsi"/>
          <w:iCs/>
          <w:sz w:val="20"/>
          <w:szCs w:val="20"/>
        </w:rPr>
        <w:t>Actex Publications.</w:t>
      </w:r>
    </w:p>
    <w:p w14:paraId="03DE9CF4" w14:textId="787B8BFF" w:rsidR="002123A4" w:rsidRPr="00246FF4" w:rsidRDefault="002123A4" w:rsidP="002123A4">
      <w:pPr>
        <w:pStyle w:val="ListParagraph"/>
        <w:numPr>
          <w:ilvl w:val="0"/>
          <w:numId w:val="1"/>
        </w:numPr>
        <w:spacing w:after="0"/>
        <w:rPr>
          <w:sz w:val="20"/>
          <w:szCs w:val="20"/>
        </w:rPr>
      </w:pPr>
      <w:r w:rsidRPr="00B937FD">
        <w:rPr>
          <w:rFonts w:cs="Calibri"/>
          <w:i/>
          <w:sz w:val="20"/>
          <w:szCs w:val="20"/>
        </w:rPr>
        <w:t>Managing and Evaluating Healthcare Intervention Programs</w:t>
      </w:r>
      <w:r w:rsidRPr="00B937FD">
        <w:rPr>
          <w:rFonts w:cs="Calibri"/>
          <w:sz w:val="20"/>
          <w:szCs w:val="20"/>
        </w:rPr>
        <w:t>. 2</w:t>
      </w:r>
      <w:r w:rsidRPr="00B937FD">
        <w:rPr>
          <w:rFonts w:cs="Calibri"/>
          <w:sz w:val="20"/>
          <w:szCs w:val="20"/>
          <w:vertAlign w:val="superscript"/>
        </w:rPr>
        <w:t>nd</w:t>
      </w:r>
      <w:r w:rsidRPr="00B937FD">
        <w:rPr>
          <w:rFonts w:cs="Calibri"/>
          <w:sz w:val="20"/>
          <w:szCs w:val="20"/>
        </w:rPr>
        <w:t xml:space="preserve"> edition.   (Actex Pu</w:t>
      </w:r>
      <w:r>
        <w:rPr>
          <w:rFonts w:cs="Calibri"/>
          <w:sz w:val="20"/>
          <w:szCs w:val="20"/>
        </w:rPr>
        <w:t>blications, January 2014</w:t>
      </w:r>
      <w:r w:rsidRPr="00B937FD">
        <w:rPr>
          <w:rFonts w:cs="Calibri"/>
          <w:sz w:val="20"/>
          <w:szCs w:val="20"/>
        </w:rPr>
        <w:t>.)</w:t>
      </w:r>
    </w:p>
    <w:p w14:paraId="398AA88B" w14:textId="77777777" w:rsidR="00246FF4" w:rsidRPr="00246FF4" w:rsidRDefault="00246FF4" w:rsidP="00522CAF">
      <w:pPr>
        <w:pStyle w:val="ListParagraph"/>
        <w:numPr>
          <w:ilvl w:val="0"/>
          <w:numId w:val="1"/>
        </w:numPr>
        <w:spacing w:after="0" w:line="240" w:lineRule="auto"/>
        <w:rPr>
          <w:rFonts w:ascii="Calibri" w:hAnsi="Calibri" w:cs="Calibri"/>
          <w:sz w:val="20"/>
          <w:szCs w:val="20"/>
        </w:rPr>
      </w:pPr>
      <w:r w:rsidRPr="00246FF4">
        <w:rPr>
          <w:rFonts w:cs="Calibri"/>
          <w:bCs/>
          <w:sz w:val="20"/>
          <w:szCs w:val="20"/>
        </w:rPr>
        <w:t>“Mining Health Claims Data for Assessing Patient Risk”</w:t>
      </w:r>
      <w:r w:rsidRPr="00246FF4">
        <w:rPr>
          <w:sz w:val="20"/>
          <w:szCs w:val="20"/>
        </w:rPr>
        <w:t xml:space="preserve"> In “Data Mining: Foundations and Intelligent Paradigms” </w:t>
      </w:r>
      <w:r w:rsidRPr="00246FF4">
        <w:rPr>
          <w:rFonts w:cs="Calibri"/>
          <w:sz w:val="20"/>
          <w:szCs w:val="20"/>
        </w:rPr>
        <w:t>Volume 3:</w:t>
      </w:r>
      <w:r w:rsidRPr="00246FF4">
        <w:rPr>
          <w:rFonts w:cs="Calibri"/>
          <w:i/>
          <w:sz w:val="20"/>
          <w:szCs w:val="20"/>
        </w:rPr>
        <w:t xml:space="preserve"> Medical, Health, Social, Biological and other Applications.</w:t>
      </w:r>
      <w:r w:rsidRPr="00246FF4">
        <w:rPr>
          <w:rFonts w:cs="Calibri"/>
          <w:sz w:val="20"/>
          <w:szCs w:val="20"/>
        </w:rPr>
        <w:t xml:space="preserve"> D.E.</w:t>
      </w:r>
      <w:r w:rsidRPr="00246FF4">
        <w:rPr>
          <w:sz w:val="20"/>
          <w:szCs w:val="20"/>
        </w:rPr>
        <w:t xml:space="preserve"> Holmes and L. Jain (eds.), Springer Verlag 2012. </w:t>
      </w:r>
    </w:p>
    <w:p w14:paraId="37A9894D" w14:textId="156E39E6" w:rsidR="00246FF4" w:rsidRPr="00246FF4" w:rsidRDefault="00246FF4" w:rsidP="00471438">
      <w:pPr>
        <w:pStyle w:val="ListParagraph"/>
        <w:numPr>
          <w:ilvl w:val="0"/>
          <w:numId w:val="1"/>
        </w:numPr>
        <w:spacing w:after="0" w:line="240" w:lineRule="auto"/>
        <w:rPr>
          <w:rFonts w:ascii="Calibri" w:hAnsi="Calibri" w:cs="Calibri"/>
          <w:sz w:val="20"/>
          <w:szCs w:val="20"/>
        </w:rPr>
      </w:pPr>
      <w:r w:rsidRPr="00246FF4">
        <w:rPr>
          <w:rFonts w:cs="Calibri"/>
          <w:sz w:val="20"/>
          <w:szCs w:val="20"/>
        </w:rPr>
        <w:t xml:space="preserve">Duncan I (Editor): </w:t>
      </w:r>
      <w:r w:rsidR="00835230">
        <w:rPr>
          <w:rFonts w:cs="Calibri"/>
          <w:sz w:val="20"/>
          <w:szCs w:val="20"/>
        </w:rPr>
        <w:t>“</w:t>
      </w:r>
      <w:r w:rsidRPr="00246FF4">
        <w:rPr>
          <w:rFonts w:cs="Calibri"/>
          <w:sz w:val="20"/>
          <w:szCs w:val="20"/>
        </w:rPr>
        <w:t xml:space="preserve">Dictionary of Disease Management </w:t>
      </w:r>
      <w:proofErr w:type="gramStart"/>
      <w:r w:rsidRPr="00246FF4">
        <w:rPr>
          <w:rFonts w:cs="Calibri"/>
          <w:sz w:val="20"/>
          <w:szCs w:val="20"/>
        </w:rPr>
        <w:t>Terminology</w:t>
      </w:r>
      <w:r w:rsidR="00835230">
        <w:rPr>
          <w:rFonts w:cs="Calibri"/>
          <w:sz w:val="20"/>
          <w:szCs w:val="20"/>
        </w:rPr>
        <w:t>”</w:t>
      </w:r>
      <w:r w:rsidRPr="00246FF4">
        <w:rPr>
          <w:rFonts w:cs="Calibri"/>
          <w:sz w:val="20"/>
          <w:szCs w:val="20"/>
        </w:rPr>
        <w:t xml:space="preserve">   </w:t>
      </w:r>
      <w:proofErr w:type="gramEnd"/>
      <w:r w:rsidRPr="00246FF4">
        <w:rPr>
          <w:rFonts w:cs="Calibri"/>
          <w:sz w:val="20"/>
          <w:szCs w:val="20"/>
        </w:rPr>
        <w:t xml:space="preserve">(First edition, 2004.  Second edition 2006).  A comprehensive guide to the processes, definitions, and terminology used in this area of Managed Care.  </w:t>
      </w:r>
      <w:r>
        <w:rPr>
          <w:rFonts w:cs="Calibri"/>
          <w:sz w:val="20"/>
          <w:szCs w:val="20"/>
        </w:rPr>
        <w:t xml:space="preserve">Washington D.C.  Disease Management Association of America. </w:t>
      </w:r>
      <w:r w:rsidRPr="00246FF4">
        <w:rPr>
          <w:sz w:val="20"/>
          <w:szCs w:val="20"/>
        </w:rPr>
        <w:t xml:space="preserve"> </w:t>
      </w:r>
    </w:p>
    <w:p w14:paraId="0FABF8F8" w14:textId="4C434A37" w:rsidR="00A3065D" w:rsidRPr="00246FF4" w:rsidRDefault="00A3065D" w:rsidP="00522CAF">
      <w:pPr>
        <w:pStyle w:val="ListParagraph"/>
        <w:numPr>
          <w:ilvl w:val="0"/>
          <w:numId w:val="1"/>
        </w:numPr>
        <w:spacing w:after="0" w:line="240" w:lineRule="auto"/>
        <w:rPr>
          <w:rFonts w:ascii="Calibri" w:hAnsi="Calibri" w:cs="Calibri"/>
          <w:sz w:val="20"/>
          <w:szCs w:val="20"/>
        </w:rPr>
      </w:pPr>
      <w:r w:rsidRPr="00835230">
        <w:rPr>
          <w:rFonts w:ascii="Calibri" w:hAnsi="Calibri" w:cs="Calibri"/>
          <w:sz w:val="20"/>
          <w:szCs w:val="20"/>
        </w:rPr>
        <w:t>"Population Risk Management:  Reducing Costs and Managing Risk in Health Insurance."</w:t>
      </w:r>
      <w:r w:rsidRPr="00246FF4">
        <w:rPr>
          <w:rFonts w:ascii="Calibri" w:hAnsi="Calibri" w:cs="Calibri"/>
          <w:i/>
          <w:iCs/>
          <w:sz w:val="20"/>
          <w:szCs w:val="20"/>
        </w:rPr>
        <w:t xml:space="preserve"> (with Arthur Robb, Ph. D.) in Arnold Shapiro, </w:t>
      </w:r>
      <w:proofErr w:type="gramStart"/>
      <w:r w:rsidRPr="00246FF4">
        <w:rPr>
          <w:rFonts w:ascii="Calibri" w:hAnsi="Calibri" w:cs="Calibri"/>
          <w:i/>
          <w:iCs/>
          <w:sz w:val="20"/>
          <w:szCs w:val="20"/>
          <w:u w:val="single"/>
        </w:rPr>
        <w:t>ed</w:t>
      </w:r>
      <w:r w:rsidRPr="00246FF4">
        <w:rPr>
          <w:rFonts w:ascii="Calibri" w:hAnsi="Calibri" w:cs="Calibri"/>
          <w:i/>
          <w:iCs/>
          <w:sz w:val="20"/>
          <w:szCs w:val="20"/>
        </w:rPr>
        <w:t xml:space="preserve"> :</w:t>
      </w:r>
      <w:proofErr w:type="gramEnd"/>
      <w:r w:rsidRPr="00246FF4">
        <w:rPr>
          <w:rFonts w:ascii="Calibri" w:hAnsi="Calibri" w:cs="Calibri"/>
          <w:i/>
          <w:iCs/>
          <w:sz w:val="20"/>
          <w:szCs w:val="20"/>
        </w:rPr>
        <w:t xml:space="preserve"> </w:t>
      </w:r>
      <w:r w:rsidRPr="00246FF4">
        <w:rPr>
          <w:rFonts w:ascii="Calibri" w:hAnsi="Calibri" w:cs="Calibri"/>
          <w:iCs/>
          <w:sz w:val="20"/>
          <w:szCs w:val="20"/>
        </w:rPr>
        <w:t>"Intelligent and other Computational Techniques in the Insurance Industry."</w:t>
      </w:r>
      <w:r w:rsidRPr="00246FF4">
        <w:rPr>
          <w:rFonts w:ascii="Calibri" w:hAnsi="Calibri" w:cs="Calibri"/>
          <w:i/>
          <w:iCs/>
          <w:sz w:val="20"/>
          <w:szCs w:val="20"/>
        </w:rPr>
        <w:t xml:space="preserve"> (</w:t>
      </w:r>
      <w:r w:rsidR="00F8078F">
        <w:rPr>
          <w:rFonts w:ascii="Calibri" w:hAnsi="Calibri" w:cs="Calibri"/>
          <w:sz w:val="20"/>
          <w:szCs w:val="20"/>
        </w:rPr>
        <w:t>World Scientific</w:t>
      </w:r>
      <w:r w:rsidRPr="00246FF4">
        <w:rPr>
          <w:rFonts w:ascii="Calibri" w:hAnsi="Calibri" w:cs="Calibri"/>
          <w:i/>
          <w:iCs/>
          <w:sz w:val="20"/>
          <w:szCs w:val="20"/>
        </w:rPr>
        <w:t xml:space="preserve">, December 2003).      </w:t>
      </w:r>
    </w:p>
    <w:p w14:paraId="1A6513EE" w14:textId="1E4894AE" w:rsidR="00DB3465" w:rsidRDefault="00DB3465" w:rsidP="00DB3465">
      <w:pPr>
        <w:numPr>
          <w:ilvl w:val="0"/>
          <w:numId w:val="1"/>
        </w:numPr>
        <w:spacing w:after="0" w:line="240" w:lineRule="auto"/>
        <w:rPr>
          <w:rFonts w:ascii="Calibri" w:hAnsi="Calibri" w:cs="Calibri"/>
          <w:sz w:val="20"/>
          <w:szCs w:val="20"/>
        </w:rPr>
      </w:pPr>
      <w:r w:rsidRPr="00670188">
        <w:rPr>
          <w:rFonts w:ascii="Calibri" w:hAnsi="Calibri" w:cs="Calibri"/>
          <w:sz w:val="20"/>
          <w:szCs w:val="20"/>
        </w:rPr>
        <w:t xml:space="preserve">“Measuring the Total Cost of Lost Time” (with Jonathon Crane, Ph. D.) in Janet R. Douglas: </w:t>
      </w:r>
      <w:r w:rsidRPr="00670188">
        <w:rPr>
          <w:rFonts w:ascii="Calibri" w:hAnsi="Calibri" w:cs="Calibri"/>
          <w:i/>
          <w:sz w:val="20"/>
          <w:szCs w:val="20"/>
        </w:rPr>
        <w:t>Managing Workers’ Compensation.</w:t>
      </w:r>
      <w:r w:rsidRPr="00670188">
        <w:rPr>
          <w:rFonts w:ascii="Calibri" w:hAnsi="Calibri" w:cs="Calibri"/>
          <w:sz w:val="20"/>
          <w:szCs w:val="20"/>
        </w:rPr>
        <w:t xml:space="preserve"> John Wiley, 1996. </w:t>
      </w:r>
    </w:p>
    <w:p w14:paraId="6B30C56C" w14:textId="0D59E02C" w:rsidR="005A3A1A" w:rsidRDefault="00DB3465" w:rsidP="00C33093">
      <w:pPr>
        <w:numPr>
          <w:ilvl w:val="0"/>
          <w:numId w:val="1"/>
        </w:numPr>
        <w:spacing w:after="0" w:line="240" w:lineRule="auto"/>
      </w:pPr>
      <w:r w:rsidRPr="008D3EAF">
        <w:rPr>
          <w:rFonts w:ascii="Calibri" w:hAnsi="Calibri" w:cs="Calibri"/>
          <w:sz w:val="20"/>
          <w:szCs w:val="20"/>
        </w:rPr>
        <w:t xml:space="preserve">"Benchmarking and Cost Control" in Janet R. Douglas: </w:t>
      </w:r>
      <w:r w:rsidRPr="008D3EAF">
        <w:rPr>
          <w:rFonts w:ascii="Calibri" w:hAnsi="Calibri" w:cs="Calibri"/>
          <w:i/>
          <w:sz w:val="20"/>
          <w:szCs w:val="20"/>
        </w:rPr>
        <w:t>Managing Workers' Compensation.</w:t>
      </w:r>
      <w:r w:rsidRPr="008D3EAF">
        <w:rPr>
          <w:rFonts w:ascii="Calibri" w:hAnsi="Calibri" w:cs="Calibri"/>
          <w:sz w:val="20"/>
          <w:szCs w:val="20"/>
        </w:rPr>
        <w:t xml:space="preserve"> John Wiley, 1994. </w:t>
      </w:r>
    </w:p>
    <w:sectPr w:rsidR="005A3A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29F3C" w14:textId="77777777" w:rsidR="00127F10" w:rsidRDefault="00127F10" w:rsidP="00B25A13">
      <w:pPr>
        <w:spacing w:after="0" w:line="240" w:lineRule="auto"/>
      </w:pPr>
      <w:r>
        <w:separator/>
      </w:r>
    </w:p>
  </w:endnote>
  <w:endnote w:type="continuationSeparator" w:id="0">
    <w:p w14:paraId="07FBC714" w14:textId="77777777" w:rsidR="00127F10" w:rsidRDefault="00127F10" w:rsidP="00B2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Roboto">
    <w:altName w:val="Times New Roman"/>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19FD5" w14:textId="77777777" w:rsidR="00127F10" w:rsidRDefault="00127F10" w:rsidP="00B25A13">
      <w:pPr>
        <w:spacing w:after="0" w:line="240" w:lineRule="auto"/>
      </w:pPr>
      <w:r>
        <w:separator/>
      </w:r>
    </w:p>
  </w:footnote>
  <w:footnote w:type="continuationSeparator" w:id="0">
    <w:p w14:paraId="7677AA9E" w14:textId="77777777" w:rsidR="00127F10" w:rsidRDefault="00127F10" w:rsidP="00B25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2388D"/>
    <w:multiLevelType w:val="multilevel"/>
    <w:tmpl w:val="7A56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E3FC8"/>
    <w:multiLevelType w:val="hybridMultilevel"/>
    <w:tmpl w:val="4BD490CE"/>
    <w:lvl w:ilvl="0" w:tplc="623E6DD6">
      <w:start w:val="1"/>
      <w:numFmt w:val="decimal"/>
      <w:lvlText w:val="%1."/>
      <w:lvlJc w:val="left"/>
      <w:pPr>
        <w:ind w:left="360" w:hanging="360"/>
      </w:pPr>
      <w:rPr>
        <w:rFonts w:asciiTheme="minorHAnsi" w:eastAsia="Times New Roman" w:hAnsi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D87556"/>
    <w:multiLevelType w:val="multilevel"/>
    <w:tmpl w:val="532C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1254C9"/>
    <w:multiLevelType w:val="hybridMultilevel"/>
    <w:tmpl w:val="0108EB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526BC8"/>
    <w:multiLevelType w:val="hybridMultilevel"/>
    <w:tmpl w:val="58BC9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7534B"/>
    <w:multiLevelType w:val="multilevel"/>
    <w:tmpl w:val="4AB6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703251"/>
    <w:multiLevelType w:val="multilevel"/>
    <w:tmpl w:val="A7E0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FD77CA"/>
    <w:multiLevelType w:val="multilevel"/>
    <w:tmpl w:val="ABE2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731055">
    <w:abstractNumId w:val="3"/>
  </w:num>
  <w:num w:numId="2" w16cid:durableId="969745404">
    <w:abstractNumId w:val="6"/>
  </w:num>
  <w:num w:numId="3" w16cid:durableId="660424896">
    <w:abstractNumId w:val="1"/>
  </w:num>
  <w:num w:numId="4" w16cid:durableId="189682388">
    <w:abstractNumId w:val="0"/>
  </w:num>
  <w:num w:numId="5" w16cid:durableId="653796174">
    <w:abstractNumId w:val="4"/>
  </w:num>
  <w:num w:numId="6" w16cid:durableId="1014957245">
    <w:abstractNumId w:val="7"/>
  </w:num>
  <w:num w:numId="7" w16cid:durableId="485323932">
    <w:abstractNumId w:val="5"/>
  </w:num>
  <w:num w:numId="8" w16cid:durableId="1780296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E1"/>
    <w:rsid w:val="00006BC3"/>
    <w:rsid w:val="000163BE"/>
    <w:rsid w:val="00021458"/>
    <w:rsid w:val="0002507C"/>
    <w:rsid w:val="00025A23"/>
    <w:rsid w:val="00032B82"/>
    <w:rsid w:val="0006102C"/>
    <w:rsid w:val="00064136"/>
    <w:rsid w:val="00077186"/>
    <w:rsid w:val="000822F1"/>
    <w:rsid w:val="000951B8"/>
    <w:rsid w:val="00097A67"/>
    <w:rsid w:val="000A4406"/>
    <w:rsid w:val="000A54DF"/>
    <w:rsid w:val="000B12B4"/>
    <w:rsid w:val="000C4A87"/>
    <w:rsid w:val="000C7959"/>
    <w:rsid w:val="000D60FE"/>
    <w:rsid w:val="000E75C3"/>
    <w:rsid w:val="00121873"/>
    <w:rsid w:val="00127F10"/>
    <w:rsid w:val="00156151"/>
    <w:rsid w:val="00161F89"/>
    <w:rsid w:val="00162E8E"/>
    <w:rsid w:val="0017332B"/>
    <w:rsid w:val="00174FF1"/>
    <w:rsid w:val="001772B1"/>
    <w:rsid w:val="001946D8"/>
    <w:rsid w:val="00195489"/>
    <w:rsid w:val="001A11CE"/>
    <w:rsid w:val="001A6972"/>
    <w:rsid w:val="001B35E4"/>
    <w:rsid w:val="001C29E7"/>
    <w:rsid w:val="001C4C3F"/>
    <w:rsid w:val="001D0938"/>
    <w:rsid w:val="001D6AF6"/>
    <w:rsid w:val="001E6168"/>
    <w:rsid w:val="001F35FE"/>
    <w:rsid w:val="001F59F9"/>
    <w:rsid w:val="001F73F8"/>
    <w:rsid w:val="002123A4"/>
    <w:rsid w:val="00226ED2"/>
    <w:rsid w:val="002427E7"/>
    <w:rsid w:val="0024372C"/>
    <w:rsid w:val="00246FF4"/>
    <w:rsid w:val="002478F0"/>
    <w:rsid w:val="0025399B"/>
    <w:rsid w:val="00263C60"/>
    <w:rsid w:val="002751EB"/>
    <w:rsid w:val="00296565"/>
    <w:rsid w:val="002A3011"/>
    <w:rsid w:val="002B4AF7"/>
    <w:rsid w:val="002C018B"/>
    <w:rsid w:val="002C65CE"/>
    <w:rsid w:val="002E7B6D"/>
    <w:rsid w:val="002E7C0A"/>
    <w:rsid w:val="003038FB"/>
    <w:rsid w:val="0030637D"/>
    <w:rsid w:val="0032112B"/>
    <w:rsid w:val="003225FD"/>
    <w:rsid w:val="003262E4"/>
    <w:rsid w:val="00332B41"/>
    <w:rsid w:val="003341FB"/>
    <w:rsid w:val="00341702"/>
    <w:rsid w:val="00350D8C"/>
    <w:rsid w:val="00367C2A"/>
    <w:rsid w:val="00370DAD"/>
    <w:rsid w:val="003858EF"/>
    <w:rsid w:val="00391EE3"/>
    <w:rsid w:val="003B0F00"/>
    <w:rsid w:val="003B12B9"/>
    <w:rsid w:val="003B15FF"/>
    <w:rsid w:val="003B2B41"/>
    <w:rsid w:val="003C13BD"/>
    <w:rsid w:val="003F2956"/>
    <w:rsid w:val="0040316A"/>
    <w:rsid w:val="0041395D"/>
    <w:rsid w:val="00414830"/>
    <w:rsid w:val="00415031"/>
    <w:rsid w:val="0043272D"/>
    <w:rsid w:val="0043358A"/>
    <w:rsid w:val="00433BB3"/>
    <w:rsid w:val="0046357F"/>
    <w:rsid w:val="004A3885"/>
    <w:rsid w:val="004A4670"/>
    <w:rsid w:val="004B2A01"/>
    <w:rsid w:val="004C5933"/>
    <w:rsid w:val="004D6840"/>
    <w:rsid w:val="004E139C"/>
    <w:rsid w:val="004E1F69"/>
    <w:rsid w:val="004F640F"/>
    <w:rsid w:val="005056F2"/>
    <w:rsid w:val="005064C6"/>
    <w:rsid w:val="0052081E"/>
    <w:rsid w:val="00525C12"/>
    <w:rsid w:val="00550270"/>
    <w:rsid w:val="005507B3"/>
    <w:rsid w:val="00561E97"/>
    <w:rsid w:val="005801E1"/>
    <w:rsid w:val="00584E00"/>
    <w:rsid w:val="005A1CDE"/>
    <w:rsid w:val="005A3A1A"/>
    <w:rsid w:val="005B1F54"/>
    <w:rsid w:val="005C1164"/>
    <w:rsid w:val="005E0420"/>
    <w:rsid w:val="00616BBC"/>
    <w:rsid w:val="00627689"/>
    <w:rsid w:val="00634CE5"/>
    <w:rsid w:val="0064596A"/>
    <w:rsid w:val="00653E50"/>
    <w:rsid w:val="00663907"/>
    <w:rsid w:val="0069270F"/>
    <w:rsid w:val="00702F22"/>
    <w:rsid w:val="0070387A"/>
    <w:rsid w:val="0070406B"/>
    <w:rsid w:val="007150D9"/>
    <w:rsid w:val="007208D2"/>
    <w:rsid w:val="007210EC"/>
    <w:rsid w:val="007309BE"/>
    <w:rsid w:val="00732FE9"/>
    <w:rsid w:val="00736411"/>
    <w:rsid w:val="0074474E"/>
    <w:rsid w:val="00750001"/>
    <w:rsid w:val="00751A85"/>
    <w:rsid w:val="00762791"/>
    <w:rsid w:val="007676A2"/>
    <w:rsid w:val="007764E2"/>
    <w:rsid w:val="007A0BAD"/>
    <w:rsid w:val="007A29DB"/>
    <w:rsid w:val="007B25D9"/>
    <w:rsid w:val="007B5E4C"/>
    <w:rsid w:val="007B724F"/>
    <w:rsid w:val="007C07B2"/>
    <w:rsid w:val="007C27D9"/>
    <w:rsid w:val="007D1B10"/>
    <w:rsid w:val="008007AE"/>
    <w:rsid w:val="0081407B"/>
    <w:rsid w:val="00835230"/>
    <w:rsid w:val="00842DA5"/>
    <w:rsid w:val="008475D8"/>
    <w:rsid w:val="00847CA2"/>
    <w:rsid w:val="0085728D"/>
    <w:rsid w:val="00857AD2"/>
    <w:rsid w:val="00857EED"/>
    <w:rsid w:val="008732AD"/>
    <w:rsid w:val="008A174B"/>
    <w:rsid w:val="008A19FF"/>
    <w:rsid w:val="008A1BD6"/>
    <w:rsid w:val="008A4B9B"/>
    <w:rsid w:val="008B0DE9"/>
    <w:rsid w:val="008B5096"/>
    <w:rsid w:val="008B5C8B"/>
    <w:rsid w:val="008D6840"/>
    <w:rsid w:val="008E35FC"/>
    <w:rsid w:val="008F0AE2"/>
    <w:rsid w:val="008F1BD5"/>
    <w:rsid w:val="008F7910"/>
    <w:rsid w:val="009031E3"/>
    <w:rsid w:val="00912078"/>
    <w:rsid w:val="00932930"/>
    <w:rsid w:val="009372B7"/>
    <w:rsid w:val="00964F18"/>
    <w:rsid w:val="00965E51"/>
    <w:rsid w:val="0097178B"/>
    <w:rsid w:val="009949E4"/>
    <w:rsid w:val="0099699B"/>
    <w:rsid w:val="00996FB8"/>
    <w:rsid w:val="009978EB"/>
    <w:rsid w:val="009A028F"/>
    <w:rsid w:val="009B1251"/>
    <w:rsid w:val="009D1A7A"/>
    <w:rsid w:val="009D3A73"/>
    <w:rsid w:val="009D5CEA"/>
    <w:rsid w:val="009D77EA"/>
    <w:rsid w:val="009F1927"/>
    <w:rsid w:val="00A04914"/>
    <w:rsid w:val="00A1378A"/>
    <w:rsid w:val="00A22C4E"/>
    <w:rsid w:val="00A27C65"/>
    <w:rsid w:val="00A3065D"/>
    <w:rsid w:val="00A506E7"/>
    <w:rsid w:val="00A55ECF"/>
    <w:rsid w:val="00A55F53"/>
    <w:rsid w:val="00A82B21"/>
    <w:rsid w:val="00A85BDF"/>
    <w:rsid w:val="00A904BD"/>
    <w:rsid w:val="00AB39CF"/>
    <w:rsid w:val="00AC40B1"/>
    <w:rsid w:val="00AE1AED"/>
    <w:rsid w:val="00AE46A2"/>
    <w:rsid w:val="00B13A61"/>
    <w:rsid w:val="00B17EC1"/>
    <w:rsid w:val="00B25716"/>
    <w:rsid w:val="00B25A13"/>
    <w:rsid w:val="00B40E03"/>
    <w:rsid w:val="00B427AF"/>
    <w:rsid w:val="00B47FEE"/>
    <w:rsid w:val="00B57730"/>
    <w:rsid w:val="00B639AF"/>
    <w:rsid w:val="00B70D17"/>
    <w:rsid w:val="00B717E5"/>
    <w:rsid w:val="00B83A36"/>
    <w:rsid w:val="00B84A8C"/>
    <w:rsid w:val="00B90B28"/>
    <w:rsid w:val="00B942F6"/>
    <w:rsid w:val="00BB3DCA"/>
    <w:rsid w:val="00BD4BB6"/>
    <w:rsid w:val="00BD4BBE"/>
    <w:rsid w:val="00BD77C5"/>
    <w:rsid w:val="00BF0589"/>
    <w:rsid w:val="00BF3D5D"/>
    <w:rsid w:val="00C04B1D"/>
    <w:rsid w:val="00C078AC"/>
    <w:rsid w:val="00C16B10"/>
    <w:rsid w:val="00C25F79"/>
    <w:rsid w:val="00C33093"/>
    <w:rsid w:val="00C64834"/>
    <w:rsid w:val="00CD1305"/>
    <w:rsid w:val="00CD49FF"/>
    <w:rsid w:val="00CD5256"/>
    <w:rsid w:val="00CE1841"/>
    <w:rsid w:val="00CE2AB8"/>
    <w:rsid w:val="00CF7633"/>
    <w:rsid w:val="00D013C2"/>
    <w:rsid w:val="00D01DD1"/>
    <w:rsid w:val="00D06C9A"/>
    <w:rsid w:val="00D10C29"/>
    <w:rsid w:val="00D161B8"/>
    <w:rsid w:val="00D21284"/>
    <w:rsid w:val="00D40B3B"/>
    <w:rsid w:val="00D47B4F"/>
    <w:rsid w:val="00D50CF2"/>
    <w:rsid w:val="00D548CD"/>
    <w:rsid w:val="00D557A9"/>
    <w:rsid w:val="00D55AF0"/>
    <w:rsid w:val="00D707AC"/>
    <w:rsid w:val="00D820A9"/>
    <w:rsid w:val="00D84BCB"/>
    <w:rsid w:val="00DA392A"/>
    <w:rsid w:val="00DA4F8F"/>
    <w:rsid w:val="00DA7838"/>
    <w:rsid w:val="00DB3465"/>
    <w:rsid w:val="00DB6075"/>
    <w:rsid w:val="00DC0598"/>
    <w:rsid w:val="00DD0382"/>
    <w:rsid w:val="00DD4C60"/>
    <w:rsid w:val="00DD5977"/>
    <w:rsid w:val="00DF2CBC"/>
    <w:rsid w:val="00DF41D8"/>
    <w:rsid w:val="00E332E4"/>
    <w:rsid w:val="00E4454A"/>
    <w:rsid w:val="00E639E2"/>
    <w:rsid w:val="00E669B8"/>
    <w:rsid w:val="00E70D40"/>
    <w:rsid w:val="00E737DA"/>
    <w:rsid w:val="00E939E6"/>
    <w:rsid w:val="00EA5E2E"/>
    <w:rsid w:val="00EA7CE3"/>
    <w:rsid w:val="00EC2A2A"/>
    <w:rsid w:val="00EF5084"/>
    <w:rsid w:val="00F0337A"/>
    <w:rsid w:val="00F05472"/>
    <w:rsid w:val="00F3174F"/>
    <w:rsid w:val="00F57C52"/>
    <w:rsid w:val="00F8078F"/>
    <w:rsid w:val="00F874C3"/>
    <w:rsid w:val="00F95490"/>
    <w:rsid w:val="00FE2B1B"/>
    <w:rsid w:val="00FE2F25"/>
    <w:rsid w:val="00FE6126"/>
    <w:rsid w:val="00FF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2E7C"/>
  <w15:chartTrackingRefBased/>
  <w15:docId w15:val="{FB57F7E8-0D07-4A8E-B28C-ACF031E2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1E1"/>
    <w:pPr>
      <w:spacing w:after="200" w:line="276" w:lineRule="auto"/>
    </w:pPr>
  </w:style>
  <w:style w:type="paragraph" w:styleId="Heading1">
    <w:name w:val="heading 1"/>
    <w:basedOn w:val="Normal"/>
    <w:next w:val="Normal"/>
    <w:link w:val="Heading1Char"/>
    <w:uiPriority w:val="9"/>
    <w:qFormat/>
    <w:rsid w:val="005801E1"/>
    <w:pPr>
      <w:keepNext/>
      <w:spacing w:after="0" w:line="240" w:lineRule="auto"/>
      <w:outlineLvl w:val="0"/>
    </w:pPr>
    <w:rPr>
      <w:rFonts w:ascii="Verdana" w:eastAsia="Times New Roman" w:hAnsi="Verdana" w:cs="Tahoma"/>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1E1"/>
    <w:rPr>
      <w:rFonts w:ascii="Verdana" w:eastAsia="Times New Roman" w:hAnsi="Verdana" w:cs="Tahoma"/>
      <w:i/>
      <w:iCs/>
      <w:sz w:val="24"/>
      <w:szCs w:val="24"/>
    </w:rPr>
  </w:style>
  <w:style w:type="paragraph" w:styleId="ListParagraph">
    <w:name w:val="List Paragraph"/>
    <w:basedOn w:val="Normal"/>
    <w:link w:val="ListParagraphChar"/>
    <w:uiPriority w:val="34"/>
    <w:qFormat/>
    <w:rsid w:val="005801E1"/>
    <w:pPr>
      <w:ind w:left="720"/>
      <w:contextualSpacing/>
    </w:pPr>
  </w:style>
  <w:style w:type="paragraph" w:styleId="BodyTextIndent2">
    <w:name w:val="Body Text Indent 2"/>
    <w:basedOn w:val="Normal"/>
    <w:link w:val="BodyTextIndent2Char"/>
    <w:rsid w:val="005801E1"/>
    <w:pPr>
      <w:spacing w:after="0" w:line="240" w:lineRule="auto"/>
      <w:ind w:left="720"/>
    </w:pPr>
    <w:rPr>
      <w:rFonts w:ascii="Verdana" w:eastAsia="Times New Roman" w:hAnsi="Verdana" w:cs="Tahoma"/>
      <w:sz w:val="24"/>
      <w:szCs w:val="24"/>
    </w:rPr>
  </w:style>
  <w:style w:type="character" w:customStyle="1" w:styleId="BodyTextIndent2Char">
    <w:name w:val="Body Text Indent 2 Char"/>
    <w:basedOn w:val="DefaultParagraphFont"/>
    <w:link w:val="BodyTextIndent2"/>
    <w:rsid w:val="005801E1"/>
    <w:rPr>
      <w:rFonts w:ascii="Verdana" w:eastAsia="Times New Roman" w:hAnsi="Verdana" w:cs="Tahoma"/>
      <w:sz w:val="24"/>
      <w:szCs w:val="24"/>
    </w:rPr>
  </w:style>
  <w:style w:type="character" w:styleId="Hyperlink">
    <w:name w:val="Hyperlink"/>
    <w:rsid w:val="005801E1"/>
    <w:rPr>
      <w:color w:val="7A79AF"/>
      <w:u w:val="single"/>
    </w:rPr>
  </w:style>
  <w:style w:type="paragraph" w:styleId="PlainText">
    <w:name w:val="Plain Text"/>
    <w:basedOn w:val="Normal"/>
    <w:link w:val="PlainTextChar"/>
    <w:uiPriority w:val="99"/>
    <w:unhideWhenUsed/>
    <w:rsid w:val="005801E1"/>
    <w:pPr>
      <w:spacing w:after="0" w:line="240" w:lineRule="auto"/>
    </w:pPr>
    <w:rPr>
      <w:rFonts w:ascii="Calibri" w:eastAsia="Calibri" w:hAnsi="Calibri" w:cs="Consolas"/>
      <w:sz w:val="20"/>
      <w:szCs w:val="21"/>
    </w:rPr>
  </w:style>
  <w:style w:type="character" w:customStyle="1" w:styleId="PlainTextChar">
    <w:name w:val="Plain Text Char"/>
    <w:basedOn w:val="DefaultParagraphFont"/>
    <w:link w:val="PlainText"/>
    <w:uiPriority w:val="99"/>
    <w:rsid w:val="005801E1"/>
    <w:rPr>
      <w:rFonts w:ascii="Calibri" w:eastAsia="Calibri" w:hAnsi="Calibri" w:cs="Consolas"/>
      <w:sz w:val="20"/>
      <w:szCs w:val="21"/>
    </w:rPr>
  </w:style>
  <w:style w:type="character" w:customStyle="1" w:styleId="slug-pub-date3">
    <w:name w:val="slug-pub-date3"/>
    <w:rsid w:val="005801E1"/>
    <w:rPr>
      <w:b w:val="0"/>
      <w:bCs w:val="0"/>
    </w:rPr>
  </w:style>
  <w:style w:type="character" w:customStyle="1" w:styleId="slug-vol">
    <w:name w:val="slug-vol"/>
    <w:rsid w:val="005801E1"/>
  </w:style>
  <w:style w:type="character" w:customStyle="1" w:styleId="slug-pages3">
    <w:name w:val="slug-pages3"/>
    <w:rsid w:val="005801E1"/>
    <w:rPr>
      <w:b w:val="0"/>
      <w:bCs w:val="0"/>
    </w:rPr>
  </w:style>
  <w:style w:type="character" w:customStyle="1" w:styleId="br">
    <w:name w:val="br"/>
    <w:rsid w:val="005801E1"/>
  </w:style>
  <w:style w:type="paragraph" w:customStyle="1" w:styleId="qj-ae">
    <w:name w:val="qj-ae"/>
    <w:basedOn w:val="Normal"/>
    <w:rsid w:val="00580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5801E1"/>
  </w:style>
  <w:style w:type="character" w:customStyle="1" w:styleId="publication-title">
    <w:name w:val="publication-title"/>
    <w:rsid w:val="005801E1"/>
  </w:style>
  <w:style w:type="character" w:customStyle="1" w:styleId="publication-meta-journal">
    <w:name w:val="publication-meta-journal"/>
    <w:rsid w:val="005801E1"/>
  </w:style>
  <w:style w:type="character" w:customStyle="1" w:styleId="publication-meta-date">
    <w:name w:val="publication-meta-date"/>
    <w:rsid w:val="005801E1"/>
  </w:style>
  <w:style w:type="table" w:styleId="TableGrid">
    <w:name w:val="Table Grid"/>
    <w:basedOn w:val="TableNormal"/>
    <w:uiPriority w:val="59"/>
    <w:rsid w:val="0058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semiHidden/>
    <w:locked/>
    <w:rsid w:val="005801E1"/>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580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5801E1"/>
  </w:style>
  <w:style w:type="paragraph" w:customStyle="1" w:styleId="BodyA">
    <w:name w:val="Body A"/>
    <w:uiPriority w:val="99"/>
    <w:rsid w:val="005801E1"/>
    <w:pPr>
      <w:spacing w:after="0" w:line="240" w:lineRule="auto"/>
    </w:pPr>
    <w:rPr>
      <w:rFonts w:ascii="Helvetica" w:eastAsia="Arial Unicode MS" w:hAnsi="Helvetica" w:cs="Arial Unicode MS"/>
      <w:color w:val="000000"/>
      <w:u w:color="000000"/>
    </w:rPr>
  </w:style>
  <w:style w:type="character" w:customStyle="1" w:styleId="epub-sectionitem">
    <w:name w:val="epub-section__item"/>
    <w:basedOn w:val="DefaultParagraphFont"/>
    <w:rsid w:val="00B25A13"/>
  </w:style>
  <w:style w:type="character" w:customStyle="1" w:styleId="epub-sectiondate">
    <w:name w:val="epub-section__date"/>
    <w:basedOn w:val="DefaultParagraphFont"/>
    <w:rsid w:val="00B25A13"/>
  </w:style>
  <w:style w:type="paragraph" w:styleId="Header">
    <w:name w:val="header"/>
    <w:basedOn w:val="Normal"/>
    <w:link w:val="HeaderChar"/>
    <w:uiPriority w:val="99"/>
    <w:unhideWhenUsed/>
    <w:rsid w:val="00B25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A13"/>
  </w:style>
  <w:style w:type="paragraph" w:styleId="Footer">
    <w:name w:val="footer"/>
    <w:basedOn w:val="Normal"/>
    <w:link w:val="FooterChar"/>
    <w:uiPriority w:val="99"/>
    <w:unhideWhenUsed/>
    <w:rsid w:val="00B25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A13"/>
  </w:style>
  <w:style w:type="character" w:styleId="Emphasis">
    <w:name w:val="Emphasis"/>
    <w:basedOn w:val="DefaultParagraphFont"/>
    <w:uiPriority w:val="20"/>
    <w:qFormat/>
    <w:rsid w:val="000C4A87"/>
    <w:rPr>
      <w:i/>
      <w:iCs/>
    </w:rPr>
  </w:style>
  <w:style w:type="character" w:customStyle="1" w:styleId="cit">
    <w:name w:val="cit"/>
    <w:basedOn w:val="DefaultParagraphFont"/>
    <w:rsid w:val="00B639AF"/>
  </w:style>
  <w:style w:type="character" w:customStyle="1" w:styleId="fm-vol-iss-date">
    <w:name w:val="fm-vol-iss-date"/>
    <w:basedOn w:val="DefaultParagraphFont"/>
    <w:rsid w:val="00B639AF"/>
  </w:style>
  <w:style w:type="character" w:customStyle="1" w:styleId="doi">
    <w:name w:val="doi"/>
    <w:basedOn w:val="DefaultParagraphFont"/>
    <w:rsid w:val="00B639AF"/>
  </w:style>
  <w:style w:type="character" w:styleId="UnresolvedMention">
    <w:name w:val="Unresolved Mention"/>
    <w:basedOn w:val="DefaultParagraphFont"/>
    <w:uiPriority w:val="99"/>
    <w:semiHidden/>
    <w:unhideWhenUsed/>
    <w:rsid w:val="00121873"/>
    <w:rPr>
      <w:color w:val="605E5C"/>
      <w:shd w:val="clear" w:color="auto" w:fill="E1DFDD"/>
    </w:rPr>
  </w:style>
  <w:style w:type="paragraph" w:customStyle="1" w:styleId="nova-legacy-e-listitem">
    <w:name w:val="nova-legacy-e-list__item"/>
    <w:basedOn w:val="Normal"/>
    <w:rsid w:val="00857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bold">
    <w:name w:val="font-bold"/>
    <w:basedOn w:val="Normal"/>
    <w:rsid w:val="00E70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1">
    <w:name w:val="mr-1"/>
    <w:basedOn w:val="DefaultParagraphFont"/>
    <w:rsid w:val="00E70D40"/>
  </w:style>
  <w:style w:type="character" w:customStyle="1" w:styleId="text-gray-500">
    <w:name w:val="text-gray-500"/>
    <w:basedOn w:val="DefaultParagraphFont"/>
    <w:rsid w:val="000E7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41504">
      <w:bodyDiv w:val="1"/>
      <w:marLeft w:val="0"/>
      <w:marRight w:val="0"/>
      <w:marTop w:val="0"/>
      <w:marBottom w:val="0"/>
      <w:divBdr>
        <w:top w:val="none" w:sz="0" w:space="0" w:color="auto"/>
        <w:left w:val="none" w:sz="0" w:space="0" w:color="auto"/>
        <w:bottom w:val="none" w:sz="0" w:space="0" w:color="auto"/>
        <w:right w:val="none" w:sz="0" w:space="0" w:color="auto"/>
      </w:divBdr>
    </w:div>
    <w:div w:id="319817335">
      <w:bodyDiv w:val="1"/>
      <w:marLeft w:val="0"/>
      <w:marRight w:val="0"/>
      <w:marTop w:val="0"/>
      <w:marBottom w:val="0"/>
      <w:divBdr>
        <w:top w:val="none" w:sz="0" w:space="0" w:color="auto"/>
        <w:left w:val="none" w:sz="0" w:space="0" w:color="auto"/>
        <w:bottom w:val="none" w:sz="0" w:space="0" w:color="auto"/>
        <w:right w:val="none" w:sz="0" w:space="0" w:color="auto"/>
      </w:divBdr>
    </w:div>
    <w:div w:id="379327573">
      <w:bodyDiv w:val="1"/>
      <w:marLeft w:val="0"/>
      <w:marRight w:val="0"/>
      <w:marTop w:val="0"/>
      <w:marBottom w:val="0"/>
      <w:divBdr>
        <w:top w:val="none" w:sz="0" w:space="0" w:color="auto"/>
        <w:left w:val="none" w:sz="0" w:space="0" w:color="auto"/>
        <w:bottom w:val="none" w:sz="0" w:space="0" w:color="auto"/>
        <w:right w:val="none" w:sz="0" w:space="0" w:color="auto"/>
      </w:divBdr>
    </w:div>
    <w:div w:id="797139995">
      <w:bodyDiv w:val="1"/>
      <w:marLeft w:val="0"/>
      <w:marRight w:val="0"/>
      <w:marTop w:val="0"/>
      <w:marBottom w:val="0"/>
      <w:divBdr>
        <w:top w:val="none" w:sz="0" w:space="0" w:color="auto"/>
        <w:left w:val="none" w:sz="0" w:space="0" w:color="auto"/>
        <w:bottom w:val="none" w:sz="0" w:space="0" w:color="auto"/>
        <w:right w:val="none" w:sz="0" w:space="0" w:color="auto"/>
      </w:divBdr>
      <w:divsChild>
        <w:div w:id="1711956825">
          <w:marLeft w:val="0"/>
          <w:marRight w:val="0"/>
          <w:marTop w:val="0"/>
          <w:marBottom w:val="0"/>
          <w:divBdr>
            <w:top w:val="none" w:sz="0" w:space="0" w:color="auto"/>
            <w:left w:val="none" w:sz="0" w:space="0" w:color="auto"/>
            <w:bottom w:val="none" w:sz="0" w:space="0" w:color="auto"/>
            <w:right w:val="none" w:sz="0" w:space="0" w:color="auto"/>
          </w:divBdr>
          <w:divsChild>
            <w:div w:id="1445004841">
              <w:marLeft w:val="0"/>
              <w:marRight w:val="0"/>
              <w:marTop w:val="0"/>
              <w:marBottom w:val="0"/>
              <w:divBdr>
                <w:top w:val="none" w:sz="0" w:space="0" w:color="auto"/>
                <w:left w:val="none" w:sz="0" w:space="0" w:color="auto"/>
                <w:bottom w:val="none" w:sz="0" w:space="0" w:color="auto"/>
                <w:right w:val="none" w:sz="0" w:space="0" w:color="auto"/>
              </w:divBdr>
              <w:divsChild>
                <w:div w:id="344021394">
                  <w:marLeft w:val="0"/>
                  <w:marRight w:val="0"/>
                  <w:marTop w:val="0"/>
                  <w:marBottom w:val="0"/>
                  <w:divBdr>
                    <w:top w:val="none" w:sz="0" w:space="0" w:color="auto"/>
                    <w:left w:val="none" w:sz="0" w:space="0" w:color="auto"/>
                    <w:bottom w:val="none" w:sz="0" w:space="0" w:color="auto"/>
                    <w:right w:val="none" w:sz="0" w:space="0" w:color="auto"/>
                  </w:divBdr>
                  <w:divsChild>
                    <w:div w:id="1558779179">
                      <w:marLeft w:val="0"/>
                      <w:marRight w:val="0"/>
                      <w:marTop w:val="0"/>
                      <w:marBottom w:val="0"/>
                      <w:divBdr>
                        <w:top w:val="none" w:sz="0" w:space="0" w:color="auto"/>
                        <w:left w:val="none" w:sz="0" w:space="0" w:color="auto"/>
                        <w:bottom w:val="none" w:sz="0" w:space="0" w:color="auto"/>
                        <w:right w:val="none" w:sz="0" w:space="0" w:color="auto"/>
                      </w:divBdr>
                      <w:divsChild>
                        <w:div w:id="990477663">
                          <w:marLeft w:val="0"/>
                          <w:marRight w:val="0"/>
                          <w:marTop w:val="0"/>
                          <w:marBottom w:val="0"/>
                          <w:divBdr>
                            <w:top w:val="none" w:sz="0" w:space="0" w:color="auto"/>
                            <w:left w:val="none" w:sz="0" w:space="0" w:color="auto"/>
                            <w:bottom w:val="none" w:sz="0" w:space="0" w:color="auto"/>
                            <w:right w:val="none" w:sz="0" w:space="0" w:color="auto"/>
                          </w:divBdr>
                          <w:divsChild>
                            <w:div w:id="1838030092">
                              <w:marLeft w:val="0"/>
                              <w:marRight w:val="0"/>
                              <w:marTop w:val="0"/>
                              <w:marBottom w:val="0"/>
                              <w:divBdr>
                                <w:top w:val="none" w:sz="0" w:space="0" w:color="auto"/>
                                <w:left w:val="none" w:sz="0" w:space="0" w:color="auto"/>
                                <w:bottom w:val="none" w:sz="0" w:space="0" w:color="auto"/>
                                <w:right w:val="none" w:sz="0" w:space="0" w:color="auto"/>
                              </w:divBdr>
                              <w:divsChild>
                                <w:div w:id="1068917069">
                                  <w:marLeft w:val="0"/>
                                  <w:marRight w:val="0"/>
                                  <w:marTop w:val="0"/>
                                  <w:marBottom w:val="0"/>
                                  <w:divBdr>
                                    <w:top w:val="none" w:sz="0" w:space="0" w:color="auto"/>
                                    <w:left w:val="none" w:sz="0" w:space="0" w:color="auto"/>
                                    <w:bottom w:val="none" w:sz="0" w:space="0" w:color="auto"/>
                                    <w:right w:val="none" w:sz="0" w:space="0" w:color="auto"/>
                                  </w:divBdr>
                                  <w:divsChild>
                                    <w:div w:id="1426148075">
                                      <w:marLeft w:val="0"/>
                                      <w:marRight w:val="0"/>
                                      <w:marTop w:val="0"/>
                                      <w:marBottom w:val="0"/>
                                      <w:divBdr>
                                        <w:top w:val="none" w:sz="0" w:space="0" w:color="auto"/>
                                        <w:left w:val="none" w:sz="0" w:space="0" w:color="auto"/>
                                        <w:bottom w:val="none" w:sz="0" w:space="0" w:color="auto"/>
                                        <w:right w:val="none" w:sz="0" w:space="0" w:color="auto"/>
                                      </w:divBdr>
                                      <w:divsChild>
                                        <w:div w:id="588272371">
                                          <w:marLeft w:val="0"/>
                                          <w:marRight w:val="0"/>
                                          <w:marTop w:val="0"/>
                                          <w:marBottom w:val="0"/>
                                          <w:divBdr>
                                            <w:top w:val="none" w:sz="0" w:space="0" w:color="auto"/>
                                            <w:left w:val="none" w:sz="0" w:space="0" w:color="auto"/>
                                            <w:bottom w:val="none" w:sz="0" w:space="0" w:color="auto"/>
                                            <w:right w:val="none" w:sz="0" w:space="0" w:color="auto"/>
                                          </w:divBdr>
                                          <w:divsChild>
                                            <w:div w:id="156455769">
                                              <w:marLeft w:val="0"/>
                                              <w:marRight w:val="0"/>
                                              <w:marTop w:val="0"/>
                                              <w:marBottom w:val="0"/>
                                              <w:divBdr>
                                                <w:top w:val="none" w:sz="0" w:space="0" w:color="auto"/>
                                                <w:left w:val="none" w:sz="0" w:space="0" w:color="auto"/>
                                                <w:bottom w:val="none" w:sz="0" w:space="0" w:color="auto"/>
                                                <w:right w:val="none" w:sz="0" w:space="0" w:color="auto"/>
                                              </w:divBdr>
                                              <w:divsChild>
                                                <w:div w:id="1613392300">
                                                  <w:marLeft w:val="0"/>
                                                  <w:marRight w:val="0"/>
                                                  <w:marTop w:val="0"/>
                                                  <w:marBottom w:val="0"/>
                                                  <w:divBdr>
                                                    <w:top w:val="none" w:sz="0" w:space="0" w:color="auto"/>
                                                    <w:left w:val="none" w:sz="0" w:space="0" w:color="auto"/>
                                                    <w:bottom w:val="none" w:sz="0" w:space="0" w:color="auto"/>
                                                    <w:right w:val="none" w:sz="0" w:space="0" w:color="auto"/>
                                                  </w:divBdr>
                                                </w:div>
                                                <w:div w:id="619337103">
                                                  <w:marLeft w:val="0"/>
                                                  <w:marRight w:val="0"/>
                                                  <w:marTop w:val="0"/>
                                                  <w:marBottom w:val="0"/>
                                                  <w:divBdr>
                                                    <w:top w:val="none" w:sz="0" w:space="0" w:color="auto"/>
                                                    <w:left w:val="none" w:sz="0" w:space="0" w:color="auto"/>
                                                    <w:bottom w:val="none" w:sz="0" w:space="0" w:color="auto"/>
                                                    <w:right w:val="none" w:sz="0" w:space="0" w:color="auto"/>
                                                  </w:divBdr>
                                                </w:div>
                                                <w:div w:id="17493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972003">
                              <w:marLeft w:val="0"/>
                              <w:marRight w:val="0"/>
                              <w:marTop w:val="0"/>
                              <w:marBottom w:val="0"/>
                              <w:divBdr>
                                <w:top w:val="none" w:sz="0" w:space="0" w:color="auto"/>
                                <w:left w:val="none" w:sz="0" w:space="0" w:color="auto"/>
                                <w:bottom w:val="none" w:sz="0" w:space="0" w:color="auto"/>
                                <w:right w:val="none" w:sz="0" w:space="0" w:color="auto"/>
                              </w:divBdr>
                              <w:divsChild>
                                <w:div w:id="103237258">
                                  <w:marLeft w:val="0"/>
                                  <w:marRight w:val="0"/>
                                  <w:marTop w:val="0"/>
                                  <w:marBottom w:val="0"/>
                                  <w:divBdr>
                                    <w:top w:val="none" w:sz="0" w:space="0" w:color="auto"/>
                                    <w:left w:val="none" w:sz="0" w:space="0" w:color="auto"/>
                                    <w:bottom w:val="none" w:sz="0" w:space="0" w:color="auto"/>
                                    <w:right w:val="none" w:sz="0" w:space="0" w:color="auto"/>
                                  </w:divBdr>
                                  <w:divsChild>
                                    <w:div w:id="17871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782663">
          <w:marLeft w:val="0"/>
          <w:marRight w:val="0"/>
          <w:marTop w:val="0"/>
          <w:marBottom w:val="0"/>
          <w:divBdr>
            <w:top w:val="none" w:sz="0" w:space="0" w:color="auto"/>
            <w:left w:val="none" w:sz="0" w:space="0" w:color="auto"/>
            <w:bottom w:val="none" w:sz="0" w:space="0" w:color="auto"/>
            <w:right w:val="none" w:sz="0" w:space="0" w:color="auto"/>
          </w:divBdr>
          <w:divsChild>
            <w:div w:id="16398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8240">
      <w:bodyDiv w:val="1"/>
      <w:marLeft w:val="0"/>
      <w:marRight w:val="0"/>
      <w:marTop w:val="0"/>
      <w:marBottom w:val="0"/>
      <w:divBdr>
        <w:top w:val="none" w:sz="0" w:space="0" w:color="auto"/>
        <w:left w:val="none" w:sz="0" w:space="0" w:color="auto"/>
        <w:bottom w:val="none" w:sz="0" w:space="0" w:color="auto"/>
        <w:right w:val="none" w:sz="0" w:space="0" w:color="auto"/>
      </w:divBdr>
      <w:divsChild>
        <w:div w:id="486090962">
          <w:marLeft w:val="0"/>
          <w:marRight w:val="0"/>
          <w:marTop w:val="0"/>
          <w:marBottom w:val="0"/>
          <w:divBdr>
            <w:top w:val="none" w:sz="0" w:space="0" w:color="auto"/>
            <w:left w:val="none" w:sz="0" w:space="0" w:color="auto"/>
            <w:bottom w:val="none" w:sz="0" w:space="0" w:color="auto"/>
            <w:right w:val="none" w:sz="0" w:space="0" w:color="auto"/>
          </w:divBdr>
          <w:divsChild>
            <w:div w:id="1553226976">
              <w:marLeft w:val="0"/>
              <w:marRight w:val="0"/>
              <w:marTop w:val="0"/>
              <w:marBottom w:val="0"/>
              <w:divBdr>
                <w:top w:val="none" w:sz="0" w:space="0" w:color="auto"/>
                <w:left w:val="none" w:sz="0" w:space="0" w:color="auto"/>
                <w:bottom w:val="none" w:sz="0" w:space="0" w:color="auto"/>
                <w:right w:val="none" w:sz="0" w:space="0" w:color="auto"/>
              </w:divBdr>
            </w:div>
          </w:divsChild>
        </w:div>
        <w:div w:id="417598399">
          <w:marLeft w:val="0"/>
          <w:marRight w:val="0"/>
          <w:marTop w:val="0"/>
          <w:marBottom w:val="0"/>
          <w:divBdr>
            <w:top w:val="none" w:sz="0" w:space="0" w:color="auto"/>
            <w:left w:val="none" w:sz="0" w:space="0" w:color="auto"/>
            <w:bottom w:val="none" w:sz="0" w:space="0" w:color="auto"/>
            <w:right w:val="none" w:sz="0" w:space="0" w:color="auto"/>
          </w:divBdr>
          <w:divsChild>
            <w:div w:id="18596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7342">
      <w:bodyDiv w:val="1"/>
      <w:marLeft w:val="0"/>
      <w:marRight w:val="0"/>
      <w:marTop w:val="0"/>
      <w:marBottom w:val="0"/>
      <w:divBdr>
        <w:top w:val="none" w:sz="0" w:space="0" w:color="auto"/>
        <w:left w:val="none" w:sz="0" w:space="0" w:color="auto"/>
        <w:bottom w:val="none" w:sz="0" w:space="0" w:color="auto"/>
        <w:right w:val="none" w:sz="0" w:space="0" w:color="auto"/>
      </w:divBdr>
    </w:div>
    <w:div w:id="1253932154">
      <w:bodyDiv w:val="1"/>
      <w:marLeft w:val="0"/>
      <w:marRight w:val="0"/>
      <w:marTop w:val="0"/>
      <w:marBottom w:val="0"/>
      <w:divBdr>
        <w:top w:val="none" w:sz="0" w:space="0" w:color="auto"/>
        <w:left w:val="none" w:sz="0" w:space="0" w:color="auto"/>
        <w:bottom w:val="none" w:sz="0" w:space="0" w:color="auto"/>
        <w:right w:val="none" w:sz="0" w:space="0" w:color="auto"/>
      </w:divBdr>
      <w:divsChild>
        <w:div w:id="273831720">
          <w:marLeft w:val="0"/>
          <w:marRight w:val="0"/>
          <w:marTop w:val="0"/>
          <w:marBottom w:val="0"/>
          <w:divBdr>
            <w:top w:val="none" w:sz="0" w:space="0" w:color="auto"/>
            <w:left w:val="none" w:sz="0" w:space="0" w:color="auto"/>
            <w:bottom w:val="none" w:sz="0" w:space="0" w:color="auto"/>
            <w:right w:val="none" w:sz="0" w:space="0" w:color="auto"/>
          </w:divBdr>
        </w:div>
      </w:divsChild>
    </w:div>
    <w:div w:id="1452627657">
      <w:bodyDiv w:val="1"/>
      <w:marLeft w:val="0"/>
      <w:marRight w:val="0"/>
      <w:marTop w:val="0"/>
      <w:marBottom w:val="0"/>
      <w:divBdr>
        <w:top w:val="none" w:sz="0" w:space="0" w:color="auto"/>
        <w:left w:val="none" w:sz="0" w:space="0" w:color="auto"/>
        <w:bottom w:val="none" w:sz="0" w:space="0" w:color="auto"/>
        <w:right w:val="none" w:sz="0" w:space="0" w:color="auto"/>
      </w:divBdr>
      <w:divsChild>
        <w:div w:id="901645299">
          <w:marLeft w:val="0"/>
          <w:marRight w:val="0"/>
          <w:marTop w:val="0"/>
          <w:marBottom w:val="0"/>
          <w:divBdr>
            <w:top w:val="none" w:sz="0" w:space="0" w:color="auto"/>
            <w:left w:val="none" w:sz="0" w:space="0" w:color="auto"/>
            <w:bottom w:val="none" w:sz="0" w:space="0" w:color="auto"/>
            <w:right w:val="none" w:sz="0" w:space="0" w:color="auto"/>
          </w:divBdr>
          <w:divsChild>
            <w:div w:id="1391805393">
              <w:marLeft w:val="0"/>
              <w:marRight w:val="0"/>
              <w:marTop w:val="0"/>
              <w:marBottom w:val="0"/>
              <w:divBdr>
                <w:top w:val="none" w:sz="0" w:space="0" w:color="auto"/>
                <w:left w:val="none" w:sz="0" w:space="0" w:color="auto"/>
                <w:bottom w:val="none" w:sz="0" w:space="0" w:color="auto"/>
                <w:right w:val="none" w:sz="0" w:space="0" w:color="auto"/>
              </w:divBdr>
              <w:divsChild>
                <w:div w:id="1178227580">
                  <w:marLeft w:val="0"/>
                  <w:marRight w:val="0"/>
                  <w:marTop w:val="0"/>
                  <w:marBottom w:val="0"/>
                  <w:divBdr>
                    <w:top w:val="none" w:sz="0" w:space="0" w:color="auto"/>
                    <w:left w:val="none" w:sz="0" w:space="0" w:color="auto"/>
                    <w:bottom w:val="none" w:sz="0" w:space="0" w:color="auto"/>
                    <w:right w:val="none" w:sz="0" w:space="0" w:color="auto"/>
                  </w:divBdr>
                  <w:divsChild>
                    <w:div w:id="1952737876">
                      <w:marLeft w:val="0"/>
                      <w:marRight w:val="0"/>
                      <w:marTop w:val="0"/>
                      <w:marBottom w:val="0"/>
                      <w:divBdr>
                        <w:top w:val="none" w:sz="0" w:space="0" w:color="auto"/>
                        <w:left w:val="none" w:sz="0" w:space="0" w:color="auto"/>
                        <w:bottom w:val="none" w:sz="0" w:space="0" w:color="auto"/>
                        <w:right w:val="none" w:sz="0" w:space="0" w:color="auto"/>
                      </w:divBdr>
                      <w:divsChild>
                        <w:div w:id="558252189">
                          <w:marLeft w:val="0"/>
                          <w:marRight w:val="0"/>
                          <w:marTop w:val="0"/>
                          <w:marBottom w:val="0"/>
                          <w:divBdr>
                            <w:top w:val="none" w:sz="0" w:space="0" w:color="auto"/>
                            <w:left w:val="none" w:sz="0" w:space="0" w:color="auto"/>
                            <w:bottom w:val="none" w:sz="0" w:space="0" w:color="auto"/>
                            <w:right w:val="none" w:sz="0" w:space="0" w:color="auto"/>
                          </w:divBdr>
                          <w:divsChild>
                            <w:div w:id="1413744508">
                              <w:marLeft w:val="0"/>
                              <w:marRight w:val="0"/>
                              <w:marTop w:val="0"/>
                              <w:marBottom w:val="0"/>
                              <w:divBdr>
                                <w:top w:val="none" w:sz="0" w:space="0" w:color="auto"/>
                                <w:left w:val="none" w:sz="0" w:space="0" w:color="auto"/>
                                <w:bottom w:val="none" w:sz="0" w:space="0" w:color="auto"/>
                                <w:right w:val="none" w:sz="0" w:space="0" w:color="auto"/>
                              </w:divBdr>
                              <w:divsChild>
                                <w:div w:id="678120485">
                                  <w:marLeft w:val="0"/>
                                  <w:marRight w:val="0"/>
                                  <w:marTop w:val="0"/>
                                  <w:marBottom w:val="0"/>
                                  <w:divBdr>
                                    <w:top w:val="none" w:sz="0" w:space="0" w:color="auto"/>
                                    <w:left w:val="none" w:sz="0" w:space="0" w:color="auto"/>
                                    <w:bottom w:val="none" w:sz="0" w:space="0" w:color="auto"/>
                                    <w:right w:val="none" w:sz="0" w:space="0" w:color="auto"/>
                                  </w:divBdr>
                                  <w:divsChild>
                                    <w:div w:id="9344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693252">
          <w:marLeft w:val="0"/>
          <w:marRight w:val="0"/>
          <w:marTop w:val="0"/>
          <w:marBottom w:val="0"/>
          <w:divBdr>
            <w:top w:val="none" w:sz="0" w:space="0" w:color="auto"/>
            <w:left w:val="none" w:sz="0" w:space="0" w:color="auto"/>
            <w:bottom w:val="none" w:sz="0" w:space="0" w:color="auto"/>
            <w:right w:val="none" w:sz="0" w:space="0" w:color="auto"/>
          </w:divBdr>
          <w:divsChild>
            <w:div w:id="13955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586">
      <w:bodyDiv w:val="1"/>
      <w:marLeft w:val="0"/>
      <w:marRight w:val="0"/>
      <w:marTop w:val="0"/>
      <w:marBottom w:val="0"/>
      <w:divBdr>
        <w:top w:val="none" w:sz="0" w:space="0" w:color="auto"/>
        <w:left w:val="none" w:sz="0" w:space="0" w:color="auto"/>
        <w:bottom w:val="none" w:sz="0" w:space="0" w:color="auto"/>
        <w:right w:val="none" w:sz="0" w:space="0" w:color="auto"/>
      </w:divBdr>
      <w:divsChild>
        <w:div w:id="149450232">
          <w:marLeft w:val="0"/>
          <w:marRight w:val="0"/>
          <w:marTop w:val="0"/>
          <w:marBottom w:val="0"/>
          <w:divBdr>
            <w:top w:val="single" w:sz="2" w:space="0" w:color="E5E7EB"/>
            <w:left w:val="single" w:sz="2" w:space="0" w:color="E5E7EB"/>
            <w:bottom w:val="single" w:sz="2" w:space="0" w:color="E5E7EB"/>
            <w:right w:val="single" w:sz="2" w:space="0" w:color="E5E7EB"/>
          </w:divBdr>
          <w:divsChild>
            <w:div w:id="999311854">
              <w:marLeft w:val="0"/>
              <w:marRight w:val="0"/>
              <w:marTop w:val="0"/>
              <w:marBottom w:val="0"/>
              <w:divBdr>
                <w:top w:val="single" w:sz="2" w:space="0" w:color="E5E7EB"/>
                <w:left w:val="single" w:sz="2" w:space="0" w:color="E5E7EB"/>
                <w:bottom w:val="single" w:sz="2" w:space="0" w:color="E5E7EB"/>
                <w:right w:val="single" w:sz="2" w:space="0" w:color="E5E7EB"/>
              </w:divBdr>
            </w:div>
            <w:div w:id="1311059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4793188">
      <w:bodyDiv w:val="1"/>
      <w:marLeft w:val="0"/>
      <w:marRight w:val="0"/>
      <w:marTop w:val="0"/>
      <w:marBottom w:val="0"/>
      <w:divBdr>
        <w:top w:val="none" w:sz="0" w:space="0" w:color="auto"/>
        <w:left w:val="none" w:sz="0" w:space="0" w:color="auto"/>
        <w:bottom w:val="none" w:sz="0" w:space="0" w:color="auto"/>
        <w:right w:val="none" w:sz="0" w:space="0" w:color="auto"/>
      </w:divBdr>
    </w:div>
    <w:div w:id="1745489012">
      <w:bodyDiv w:val="1"/>
      <w:marLeft w:val="0"/>
      <w:marRight w:val="0"/>
      <w:marTop w:val="0"/>
      <w:marBottom w:val="0"/>
      <w:divBdr>
        <w:top w:val="none" w:sz="0" w:space="0" w:color="auto"/>
        <w:left w:val="none" w:sz="0" w:space="0" w:color="auto"/>
        <w:bottom w:val="none" w:sz="0" w:space="0" w:color="auto"/>
        <w:right w:val="none" w:sz="0" w:space="0" w:color="auto"/>
      </w:divBdr>
      <w:divsChild>
        <w:div w:id="1320619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3007447">
      <w:bodyDiv w:val="1"/>
      <w:marLeft w:val="0"/>
      <w:marRight w:val="0"/>
      <w:marTop w:val="0"/>
      <w:marBottom w:val="0"/>
      <w:divBdr>
        <w:top w:val="none" w:sz="0" w:space="0" w:color="auto"/>
        <w:left w:val="none" w:sz="0" w:space="0" w:color="auto"/>
        <w:bottom w:val="none" w:sz="0" w:space="0" w:color="auto"/>
        <w:right w:val="none" w:sz="0" w:space="0" w:color="auto"/>
      </w:divBdr>
    </w:div>
    <w:div w:id="1949459003">
      <w:bodyDiv w:val="1"/>
      <w:marLeft w:val="0"/>
      <w:marRight w:val="0"/>
      <w:marTop w:val="0"/>
      <w:marBottom w:val="0"/>
      <w:divBdr>
        <w:top w:val="none" w:sz="0" w:space="0" w:color="auto"/>
        <w:left w:val="none" w:sz="0" w:space="0" w:color="auto"/>
        <w:bottom w:val="none" w:sz="0" w:space="0" w:color="auto"/>
        <w:right w:val="none" w:sz="0" w:space="0" w:color="auto"/>
      </w:divBdr>
    </w:div>
    <w:div w:id="2009091705">
      <w:bodyDiv w:val="1"/>
      <w:marLeft w:val="0"/>
      <w:marRight w:val="0"/>
      <w:marTop w:val="0"/>
      <w:marBottom w:val="0"/>
      <w:divBdr>
        <w:top w:val="none" w:sz="0" w:space="0" w:color="auto"/>
        <w:left w:val="none" w:sz="0" w:space="0" w:color="auto"/>
        <w:bottom w:val="none" w:sz="0" w:space="0" w:color="auto"/>
        <w:right w:val="none" w:sz="0" w:space="0" w:color="auto"/>
      </w:divBdr>
      <w:divsChild>
        <w:div w:id="997344120">
          <w:marLeft w:val="0"/>
          <w:marRight w:val="0"/>
          <w:marTop w:val="0"/>
          <w:marBottom w:val="0"/>
          <w:divBdr>
            <w:top w:val="none" w:sz="0" w:space="0" w:color="auto"/>
            <w:left w:val="none" w:sz="0" w:space="0" w:color="auto"/>
            <w:bottom w:val="none" w:sz="0" w:space="0" w:color="auto"/>
            <w:right w:val="none" w:sz="0" w:space="0" w:color="auto"/>
          </w:divBdr>
          <w:divsChild>
            <w:div w:id="823008833">
              <w:marLeft w:val="0"/>
              <w:marRight w:val="0"/>
              <w:marTop w:val="0"/>
              <w:marBottom w:val="0"/>
              <w:divBdr>
                <w:top w:val="none" w:sz="0" w:space="0" w:color="auto"/>
                <w:left w:val="none" w:sz="0" w:space="0" w:color="auto"/>
                <w:bottom w:val="none" w:sz="0" w:space="0" w:color="auto"/>
                <w:right w:val="none" w:sz="0" w:space="0" w:color="auto"/>
              </w:divBdr>
            </w:div>
          </w:divsChild>
        </w:div>
        <w:div w:id="1731607859">
          <w:marLeft w:val="0"/>
          <w:marRight w:val="0"/>
          <w:marTop w:val="0"/>
          <w:marBottom w:val="0"/>
          <w:divBdr>
            <w:top w:val="none" w:sz="0" w:space="0" w:color="auto"/>
            <w:left w:val="none" w:sz="0" w:space="0" w:color="auto"/>
            <w:bottom w:val="none" w:sz="0" w:space="0" w:color="auto"/>
            <w:right w:val="none" w:sz="0" w:space="0" w:color="auto"/>
          </w:divBdr>
          <w:divsChild>
            <w:div w:id="2070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388">
      <w:bodyDiv w:val="1"/>
      <w:marLeft w:val="0"/>
      <w:marRight w:val="0"/>
      <w:marTop w:val="0"/>
      <w:marBottom w:val="0"/>
      <w:divBdr>
        <w:top w:val="none" w:sz="0" w:space="0" w:color="auto"/>
        <w:left w:val="none" w:sz="0" w:space="0" w:color="auto"/>
        <w:bottom w:val="none" w:sz="0" w:space="0" w:color="auto"/>
        <w:right w:val="none" w:sz="0" w:space="0" w:color="auto"/>
      </w:divBdr>
      <w:divsChild>
        <w:div w:id="1197231704">
          <w:marLeft w:val="0"/>
          <w:marRight w:val="0"/>
          <w:marTop w:val="0"/>
          <w:marBottom w:val="0"/>
          <w:divBdr>
            <w:top w:val="none" w:sz="0" w:space="0" w:color="auto"/>
            <w:left w:val="none" w:sz="0" w:space="0" w:color="auto"/>
            <w:bottom w:val="none" w:sz="0" w:space="0" w:color="auto"/>
            <w:right w:val="none" w:sz="0" w:space="0" w:color="auto"/>
          </w:divBdr>
          <w:divsChild>
            <w:div w:id="1415854800">
              <w:marLeft w:val="0"/>
              <w:marRight w:val="0"/>
              <w:marTop w:val="0"/>
              <w:marBottom w:val="0"/>
              <w:divBdr>
                <w:top w:val="none" w:sz="0" w:space="0" w:color="auto"/>
                <w:left w:val="none" w:sz="0" w:space="0" w:color="auto"/>
                <w:bottom w:val="none" w:sz="0" w:space="0" w:color="auto"/>
                <w:right w:val="none" w:sz="0" w:space="0" w:color="auto"/>
              </w:divBdr>
              <w:divsChild>
                <w:div w:id="373507713">
                  <w:marLeft w:val="0"/>
                  <w:marRight w:val="0"/>
                  <w:marTop w:val="0"/>
                  <w:marBottom w:val="0"/>
                  <w:divBdr>
                    <w:top w:val="none" w:sz="0" w:space="0" w:color="auto"/>
                    <w:left w:val="none" w:sz="0" w:space="0" w:color="auto"/>
                    <w:bottom w:val="none" w:sz="0" w:space="0" w:color="auto"/>
                    <w:right w:val="none" w:sz="0" w:space="0" w:color="auto"/>
                  </w:divBdr>
                  <w:divsChild>
                    <w:div w:id="1638292407">
                      <w:marLeft w:val="0"/>
                      <w:marRight w:val="0"/>
                      <w:marTop w:val="0"/>
                      <w:marBottom w:val="0"/>
                      <w:divBdr>
                        <w:top w:val="none" w:sz="0" w:space="0" w:color="auto"/>
                        <w:left w:val="none" w:sz="0" w:space="0" w:color="auto"/>
                        <w:bottom w:val="none" w:sz="0" w:space="0" w:color="auto"/>
                        <w:right w:val="none" w:sz="0" w:space="0" w:color="auto"/>
                      </w:divBdr>
                      <w:divsChild>
                        <w:div w:id="2009362075">
                          <w:marLeft w:val="0"/>
                          <w:marRight w:val="0"/>
                          <w:marTop w:val="0"/>
                          <w:marBottom w:val="0"/>
                          <w:divBdr>
                            <w:top w:val="none" w:sz="0" w:space="0" w:color="auto"/>
                            <w:left w:val="none" w:sz="0" w:space="0" w:color="auto"/>
                            <w:bottom w:val="none" w:sz="0" w:space="0" w:color="auto"/>
                            <w:right w:val="none" w:sz="0" w:space="0" w:color="auto"/>
                          </w:divBdr>
                          <w:divsChild>
                            <w:div w:id="2011907614">
                              <w:marLeft w:val="0"/>
                              <w:marRight w:val="0"/>
                              <w:marTop w:val="0"/>
                              <w:marBottom w:val="0"/>
                              <w:divBdr>
                                <w:top w:val="none" w:sz="0" w:space="0" w:color="auto"/>
                                <w:left w:val="none" w:sz="0" w:space="0" w:color="auto"/>
                                <w:bottom w:val="none" w:sz="0" w:space="0" w:color="auto"/>
                                <w:right w:val="none" w:sz="0" w:space="0" w:color="auto"/>
                              </w:divBdr>
                              <w:divsChild>
                                <w:div w:id="1508907530">
                                  <w:marLeft w:val="0"/>
                                  <w:marRight w:val="0"/>
                                  <w:marTop w:val="0"/>
                                  <w:marBottom w:val="0"/>
                                  <w:divBdr>
                                    <w:top w:val="none" w:sz="0" w:space="0" w:color="auto"/>
                                    <w:left w:val="none" w:sz="0" w:space="0" w:color="auto"/>
                                    <w:bottom w:val="none" w:sz="0" w:space="0" w:color="auto"/>
                                    <w:right w:val="none" w:sz="0" w:space="0" w:color="auto"/>
                                  </w:divBdr>
                                  <w:divsChild>
                                    <w:div w:id="1418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29837">
          <w:marLeft w:val="0"/>
          <w:marRight w:val="0"/>
          <w:marTop w:val="0"/>
          <w:marBottom w:val="0"/>
          <w:divBdr>
            <w:top w:val="none" w:sz="0" w:space="0" w:color="auto"/>
            <w:left w:val="none" w:sz="0" w:space="0" w:color="auto"/>
            <w:bottom w:val="none" w:sz="0" w:space="0" w:color="auto"/>
            <w:right w:val="none" w:sz="0" w:space="0" w:color="auto"/>
          </w:divBdr>
          <w:divsChild>
            <w:div w:id="12600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won.0000000000001054" TargetMode="External"/><Relationship Id="rId13" Type="http://schemas.openxmlformats.org/officeDocument/2006/relationships/hyperlink" Target="https://dx.doi.org/10.1089%2Fheq.2019.0119" TargetMode="External"/><Relationship Id="rId18" Type="http://schemas.openxmlformats.org/officeDocument/2006/relationships/hyperlink" Target="https://doi.org/10.1089/pop.2015.005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qa.i-md.com/docsearch/s/?q=journal%3A%22Joint%20Commission%20journal%20on%20quality%20and%20patient%20safety%20%2F%20Joint%20Commission%20Resources%22&amp;src=en" TargetMode="External"/><Relationship Id="rId7" Type="http://schemas.openxmlformats.org/officeDocument/2006/relationships/hyperlink" Target="https://doi.org/10.1080/10920277.2024.2387116" TargetMode="External"/><Relationship Id="rId12" Type="http://schemas.openxmlformats.org/officeDocument/2006/relationships/hyperlink" Target="https://doi.org/10.1177%2F1049909120939091" TargetMode="External"/><Relationship Id="rId17" Type="http://schemas.openxmlformats.org/officeDocument/2006/relationships/hyperlink" Target="https://www.researchgate.net/publication/292159914_Use_of_a_publically_available_database_to_determine_the_impact_of_diabetes_on_length_of_hospital_stay_for_elective_orthopedic_procedures_in_California" TargetMode="External"/><Relationship Id="rId25" Type="http://schemas.openxmlformats.org/officeDocument/2006/relationships/hyperlink" Target="http://dx.doi.org/10.5772/intechopen.103021" TargetMode="External"/><Relationship Id="rId2" Type="http://schemas.openxmlformats.org/officeDocument/2006/relationships/styles" Target="styles.xml"/><Relationship Id="rId16" Type="http://schemas.openxmlformats.org/officeDocument/2006/relationships/hyperlink" Target="https://www.researchgate.net/researcher/2096288325_Stephane_Guerrier_David_Kerr" TargetMode="External"/><Relationship Id="rId20" Type="http://schemas.openxmlformats.org/officeDocument/2006/relationships/hyperlink" Target="http://www.qa.i-md.com/docsearch/s/?q=journal%3A%22Health%20management%20technology%22&amp;src=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920277.2021.1993927" TargetMode="External"/><Relationship Id="rId24" Type="http://schemas.openxmlformats.org/officeDocument/2006/relationships/hyperlink" Target="https://www.intechopen.com/online-first/1154786" TargetMode="External"/><Relationship Id="rId5" Type="http://schemas.openxmlformats.org/officeDocument/2006/relationships/footnotes" Target="footnotes.xml"/><Relationship Id="rId15" Type="http://schemas.openxmlformats.org/officeDocument/2006/relationships/hyperlink" Target="https://www.researchgate.net/researcher/2096246671_Ian_Duncan" TargetMode="External"/><Relationship Id="rId23" Type="http://schemas.openxmlformats.org/officeDocument/2006/relationships/hyperlink" Target="http://www.soa.org/ccm/content/?categoryID=327001" TargetMode="External"/><Relationship Id="rId10" Type="http://schemas.openxmlformats.org/officeDocument/2006/relationships/hyperlink" Target="https://doi.org/10.37765/ajmc.2023.89422" TargetMode="External"/><Relationship Id="rId19" Type="http://schemas.openxmlformats.org/officeDocument/2006/relationships/hyperlink" Target="http://www.ajhp.org/content/71/9/739.abstract?etoc&amp;related-urls=yes&amp;legid=ajhp;71/9/739" TargetMode="External"/><Relationship Id="rId4" Type="http://schemas.openxmlformats.org/officeDocument/2006/relationships/webSettings" Target="webSettings.xml"/><Relationship Id="rId9" Type="http://schemas.openxmlformats.org/officeDocument/2006/relationships/hyperlink" Target="https://www.liebertpub.com/doi/full/10.1089/pop.2023.0086" TargetMode="External"/><Relationship Id="rId14" Type="http://schemas.openxmlformats.org/officeDocument/2006/relationships/hyperlink" Target="https://doi.org/10.1089/pop.2016.0002" TargetMode="External"/><Relationship Id="rId22" Type="http://schemas.openxmlformats.org/officeDocument/2006/relationships/hyperlink" Target="http://library.soa.org/library-pdf/rsa04v30n1111of.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5095</Words>
  <Characters>29047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duncan</dc:creator>
  <cp:keywords/>
  <dc:description/>
  <cp:lastModifiedBy>ian duncan</cp:lastModifiedBy>
  <cp:revision>28</cp:revision>
  <dcterms:created xsi:type="dcterms:W3CDTF">2024-12-08T01:01:00Z</dcterms:created>
  <dcterms:modified xsi:type="dcterms:W3CDTF">2025-01-03T20:18:00Z</dcterms:modified>
</cp:coreProperties>
</file>